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48" w:rsidRDefault="005076BD">
      <w:r>
        <w:t xml:space="preserve">                                                                </w:t>
      </w:r>
      <w:r>
        <w:rPr>
          <w:noProof/>
          <w:lang w:val="en-GB" w:eastAsia="en-GB"/>
        </w:rPr>
        <w:drawing>
          <wp:inline distT="0" distB="0" distL="0" distR="0">
            <wp:extent cx="1428750" cy="1838325"/>
            <wp:effectExtent l="19050" t="0" r="0" b="0"/>
            <wp:docPr id="1" name="Picture 0" descr="ws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cb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5076BD" w:rsidRDefault="005076BD"/>
    <w:p w:rsidR="005076BD" w:rsidRPr="005076BD" w:rsidRDefault="005076B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Pr="005076BD">
        <w:rPr>
          <w:b/>
          <w:sz w:val="32"/>
          <w:szCs w:val="32"/>
        </w:rPr>
        <w:t xml:space="preserve">Safeguarding Children and Young People </w:t>
      </w:r>
    </w:p>
    <w:p w:rsidR="005076BD" w:rsidRDefault="005076BD">
      <w:pPr>
        <w:rPr>
          <w:b/>
          <w:sz w:val="32"/>
          <w:szCs w:val="32"/>
        </w:rPr>
      </w:pPr>
      <w:r w:rsidRPr="005076BD">
        <w:rPr>
          <w:b/>
          <w:sz w:val="32"/>
          <w:szCs w:val="32"/>
        </w:rPr>
        <w:t xml:space="preserve">                        </w:t>
      </w:r>
      <w:proofErr w:type="spellStart"/>
      <w:r w:rsidR="003F1072" w:rsidRPr="005076BD">
        <w:rPr>
          <w:b/>
          <w:sz w:val="32"/>
          <w:szCs w:val="32"/>
        </w:rPr>
        <w:t>Who’s</w:t>
      </w:r>
      <w:proofErr w:type="spellEnd"/>
      <w:r w:rsidRPr="005076BD">
        <w:rPr>
          <w:b/>
          <w:sz w:val="32"/>
          <w:szCs w:val="32"/>
        </w:rPr>
        <w:t xml:space="preserve"> Parents Have Mental Health </w:t>
      </w:r>
      <w:proofErr w:type="gramStart"/>
      <w:r w:rsidRPr="005076BD">
        <w:rPr>
          <w:b/>
          <w:sz w:val="32"/>
          <w:szCs w:val="32"/>
        </w:rPr>
        <w:t>Needs</w:t>
      </w:r>
      <w:proofErr w:type="gramEnd"/>
      <w:r w:rsidRPr="005076BD">
        <w:rPr>
          <w:b/>
          <w:sz w:val="32"/>
          <w:szCs w:val="32"/>
        </w:rPr>
        <w:t xml:space="preserve"> </w:t>
      </w:r>
    </w:p>
    <w:p w:rsidR="005076BD" w:rsidRDefault="005076BD">
      <w:pPr>
        <w:rPr>
          <w:b/>
          <w:sz w:val="32"/>
          <w:szCs w:val="32"/>
        </w:rPr>
      </w:pPr>
    </w:p>
    <w:p w:rsidR="005076BD" w:rsidRDefault="005076BD">
      <w:pPr>
        <w:rPr>
          <w:sz w:val="32"/>
          <w:szCs w:val="32"/>
        </w:rPr>
      </w:pPr>
      <w:r>
        <w:rPr>
          <w:sz w:val="32"/>
          <w:szCs w:val="32"/>
        </w:rPr>
        <w:t xml:space="preserve">In 2010 The Worcestershire Safeguarding Children Board (WSCB) launched new </w:t>
      </w:r>
      <w:r w:rsidR="003F1072">
        <w:rPr>
          <w:sz w:val="32"/>
          <w:szCs w:val="32"/>
        </w:rPr>
        <w:t>interagency</w:t>
      </w:r>
      <w:r>
        <w:rPr>
          <w:sz w:val="32"/>
          <w:szCs w:val="32"/>
        </w:rPr>
        <w:t xml:space="preserve"> guidance on working with the children of parents who are known to mental health services. This should be used by all public, private and voluntary sector agencies.</w:t>
      </w:r>
    </w:p>
    <w:p w:rsidR="005076BD" w:rsidRDefault="005076BD">
      <w:pPr>
        <w:rPr>
          <w:sz w:val="32"/>
          <w:szCs w:val="32"/>
        </w:rPr>
      </w:pPr>
    </w:p>
    <w:p w:rsidR="005076BD" w:rsidRDefault="005076BD">
      <w:pPr>
        <w:rPr>
          <w:sz w:val="32"/>
          <w:szCs w:val="32"/>
        </w:rPr>
      </w:pPr>
      <w:r>
        <w:rPr>
          <w:sz w:val="32"/>
          <w:szCs w:val="32"/>
        </w:rPr>
        <w:t xml:space="preserve">We know </w:t>
      </w:r>
      <w:r w:rsidR="003F1072">
        <w:rPr>
          <w:sz w:val="32"/>
          <w:szCs w:val="32"/>
        </w:rPr>
        <w:t>that:</w:t>
      </w:r>
    </w:p>
    <w:p w:rsidR="005076BD" w:rsidRDefault="005076BD" w:rsidP="005076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Around 25% of adults will have a period of significant mental ill health during their lifetime.</w:t>
      </w:r>
    </w:p>
    <w:p w:rsidR="007A40A5" w:rsidRDefault="005076BD" w:rsidP="005076B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Between </w:t>
      </w:r>
      <w:r w:rsidR="007A40A5">
        <w:rPr>
          <w:sz w:val="32"/>
          <w:szCs w:val="32"/>
        </w:rPr>
        <w:t>25</w:t>
      </w:r>
      <w:r w:rsidR="003F1072">
        <w:rPr>
          <w:sz w:val="32"/>
          <w:szCs w:val="32"/>
        </w:rPr>
        <w:t>% and</w:t>
      </w:r>
      <w:r w:rsidR="007A40A5">
        <w:rPr>
          <w:sz w:val="32"/>
          <w:szCs w:val="32"/>
        </w:rPr>
        <w:t xml:space="preserve"> 50 % of these people will be parents at the time of their illness.</w:t>
      </w:r>
    </w:p>
    <w:p w:rsidR="007A40A5" w:rsidRDefault="007A40A5" w:rsidP="007A40A5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A40A5">
        <w:rPr>
          <w:sz w:val="32"/>
          <w:szCs w:val="32"/>
        </w:rPr>
        <w:t xml:space="preserve">Children of parents with Mental Illness have an increased rate of mental health problems and an increased risk of adverse effects on development. The mental health </w:t>
      </w:r>
      <w:r>
        <w:rPr>
          <w:sz w:val="32"/>
          <w:szCs w:val="32"/>
        </w:rPr>
        <w:t>of children is a strong predictor of their mental health in adulthood. (SCIE 2009)</w:t>
      </w:r>
    </w:p>
    <w:p w:rsidR="007A40A5" w:rsidRDefault="007A40A5" w:rsidP="007A40A5">
      <w:pPr>
        <w:rPr>
          <w:b/>
          <w:sz w:val="32"/>
          <w:szCs w:val="32"/>
        </w:rPr>
      </w:pPr>
      <w:r w:rsidRPr="007A40A5">
        <w:rPr>
          <w:sz w:val="32"/>
          <w:szCs w:val="32"/>
        </w:rPr>
        <w:lastRenderedPageBreak/>
        <w:t xml:space="preserve"> </w:t>
      </w:r>
      <w:r>
        <w:rPr>
          <w:b/>
          <w:sz w:val="32"/>
          <w:szCs w:val="32"/>
        </w:rPr>
        <w:t>Think Child, Think Parent, Think Family</w:t>
      </w:r>
    </w:p>
    <w:p w:rsidR="007A40A5" w:rsidRDefault="007A40A5" w:rsidP="007A40A5">
      <w:pPr>
        <w:rPr>
          <w:b/>
          <w:sz w:val="32"/>
          <w:szCs w:val="32"/>
        </w:rPr>
      </w:pPr>
    </w:p>
    <w:p w:rsidR="007A40A5" w:rsidRDefault="007A40A5" w:rsidP="007A40A5">
      <w:pPr>
        <w:rPr>
          <w:sz w:val="32"/>
          <w:szCs w:val="32"/>
        </w:rPr>
      </w:pPr>
      <w:r>
        <w:rPr>
          <w:sz w:val="32"/>
          <w:szCs w:val="32"/>
        </w:rPr>
        <w:t xml:space="preserve">The previous Government`s “Think Family” agenda recognized and promoted the importance of a whole family approach </w:t>
      </w:r>
      <w:r w:rsidR="00746A86">
        <w:rPr>
          <w:sz w:val="32"/>
          <w:szCs w:val="32"/>
        </w:rPr>
        <w:t xml:space="preserve">and the guidance for Safeguarding children in these families embraces the principles from this of </w:t>
      </w:r>
    </w:p>
    <w:p w:rsidR="00746A86" w:rsidRDefault="00746A86" w:rsidP="00746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46A86">
        <w:rPr>
          <w:b/>
          <w:sz w:val="32"/>
          <w:szCs w:val="32"/>
        </w:rPr>
        <w:t>No Wrong Door</w:t>
      </w:r>
      <w:r>
        <w:rPr>
          <w:sz w:val="32"/>
          <w:szCs w:val="32"/>
        </w:rPr>
        <w:t xml:space="preserve"> – contact with any service offers and open door into a system of joined up support. Co-ordination between adult and child services is key.</w:t>
      </w:r>
    </w:p>
    <w:p w:rsidR="00746A86" w:rsidRDefault="00746A86" w:rsidP="00746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46A86">
        <w:rPr>
          <w:b/>
          <w:sz w:val="32"/>
          <w:szCs w:val="32"/>
        </w:rPr>
        <w:t>Looking at the whole family</w:t>
      </w:r>
      <w:r>
        <w:rPr>
          <w:sz w:val="32"/>
          <w:szCs w:val="32"/>
        </w:rPr>
        <w:t xml:space="preserve"> – services working with both adults and children should take into account the family circumstances and responsibilities.</w:t>
      </w:r>
    </w:p>
    <w:p w:rsidR="00746A86" w:rsidRDefault="00746A86" w:rsidP="00746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46A86">
        <w:rPr>
          <w:b/>
          <w:sz w:val="32"/>
          <w:szCs w:val="32"/>
        </w:rPr>
        <w:t>Providing support tailored to need</w:t>
      </w:r>
      <w:r w:rsidRPr="00746A86">
        <w:rPr>
          <w:sz w:val="32"/>
          <w:szCs w:val="32"/>
        </w:rPr>
        <w:t xml:space="preserve"> – working with the families to agree</w:t>
      </w:r>
      <w:r>
        <w:rPr>
          <w:sz w:val="32"/>
          <w:szCs w:val="32"/>
        </w:rPr>
        <w:t xml:space="preserve"> a package of support best suited to them.</w:t>
      </w:r>
    </w:p>
    <w:p w:rsidR="00746A86" w:rsidRDefault="00746A86" w:rsidP="00746A86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746A86">
        <w:rPr>
          <w:b/>
          <w:sz w:val="32"/>
          <w:szCs w:val="32"/>
        </w:rPr>
        <w:t>Building on family strengths</w:t>
      </w:r>
      <w:r w:rsidRPr="00746A86">
        <w:rPr>
          <w:sz w:val="32"/>
          <w:szCs w:val="32"/>
        </w:rPr>
        <w:t xml:space="preserve"> – working in partnership with families</w:t>
      </w:r>
      <w:r>
        <w:rPr>
          <w:sz w:val="32"/>
          <w:szCs w:val="32"/>
        </w:rPr>
        <w:t xml:space="preserve"> to recognize and promote resilience and helping them to build their capabilities.</w:t>
      </w:r>
    </w:p>
    <w:p w:rsidR="00746A86" w:rsidRDefault="00746A86" w:rsidP="00746A86">
      <w:pPr>
        <w:rPr>
          <w:sz w:val="32"/>
          <w:szCs w:val="32"/>
        </w:rPr>
      </w:pPr>
    </w:p>
    <w:p w:rsidR="00746A86" w:rsidRDefault="00746A86" w:rsidP="00746A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SOUND </w:t>
      </w:r>
      <w:bookmarkStart w:id="0" w:name="_GoBack"/>
      <w:bookmarkEnd w:id="0"/>
      <w:r w:rsidR="003F1072">
        <w:rPr>
          <w:sz w:val="32"/>
          <w:szCs w:val="32"/>
        </w:rPr>
        <w:t>FAMILIAR???????</w:t>
      </w:r>
    </w:p>
    <w:p w:rsidR="00746A86" w:rsidRDefault="000D707D" w:rsidP="00746A86">
      <w:pPr>
        <w:rPr>
          <w:sz w:val="32"/>
          <w:szCs w:val="32"/>
        </w:rPr>
      </w:pPr>
      <w:r>
        <w:rPr>
          <w:sz w:val="32"/>
          <w:szCs w:val="32"/>
        </w:rPr>
        <w:t>Home-Start is mentioned in the Interagency Guidance for safeguarding children with parents with mental health needs.</w:t>
      </w:r>
    </w:p>
    <w:sectPr w:rsidR="00746A86" w:rsidSect="00AF6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7768"/>
    <w:multiLevelType w:val="hybridMultilevel"/>
    <w:tmpl w:val="668446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31114F"/>
    <w:multiLevelType w:val="hybridMultilevel"/>
    <w:tmpl w:val="5F64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76BD"/>
    <w:rsid w:val="00057EE6"/>
    <w:rsid w:val="000D707D"/>
    <w:rsid w:val="003F1072"/>
    <w:rsid w:val="005076BD"/>
    <w:rsid w:val="00513F95"/>
    <w:rsid w:val="00746A86"/>
    <w:rsid w:val="007A40A5"/>
    <w:rsid w:val="00AF6748"/>
    <w:rsid w:val="00BE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095C98-EB47-41BD-9BEB-873D73A8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6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hswf3</cp:lastModifiedBy>
  <cp:revision>3</cp:revision>
  <cp:lastPrinted>2015-05-21T11:12:00Z</cp:lastPrinted>
  <dcterms:created xsi:type="dcterms:W3CDTF">2013-06-26T13:48:00Z</dcterms:created>
  <dcterms:modified xsi:type="dcterms:W3CDTF">2015-05-21T11:12:00Z</dcterms:modified>
</cp:coreProperties>
</file>