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56D6B" w14:textId="77777777" w:rsidR="00BF2C23" w:rsidRPr="00BF2C23" w:rsidRDefault="00BF2C23" w:rsidP="00BF2C23">
      <w:pPr>
        <w:shd w:val="clear" w:color="auto" w:fill="FFFFFF"/>
        <w:spacing w:line="600" w:lineRule="atLeast"/>
        <w:outlineLvl w:val="0"/>
        <w:rPr>
          <w:rFonts w:ascii="Arial" w:eastAsia="Times New Roman" w:hAnsi="Arial" w:cs="Times New Roman"/>
          <w:color w:val="00589B"/>
          <w:spacing w:val="-15"/>
          <w:kern w:val="36"/>
          <w:sz w:val="60"/>
          <w:szCs w:val="60"/>
          <w:lang w:eastAsia="en-GB"/>
          <w14:ligatures w14:val="none"/>
        </w:rPr>
      </w:pPr>
      <w:r w:rsidRPr="00BF2C23">
        <w:rPr>
          <w:rFonts w:ascii="Arial" w:eastAsia="Times New Roman" w:hAnsi="Arial" w:cs="Times New Roman"/>
          <w:color w:val="00589B"/>
          <w:spacing w:val="-15"/>
          <w:kern w:val="36"/>
          <w:sz w:val="60"/>
          <w:szCs w:val="60"/>
          <w:lang w:eastAsia="en-GB"/>
          <w14:ligatures w14:val="none"/>
        </w:rPr>
        <w:t>Transgender people and suicide fact sheet</w:t>
      </w:r>
    </w:p>
    <w:p w14:paraId="6B5DDB98" w14:textId="711D7943" w:rsidR="00BF2C23" w:rsidRPr="00BF2C23" w:rsidRDefault="00BF2C23" w:rsidP="00BF2C23">
      <w:pPr>
        <w:shd w:val="clear" w:color="auto" w:fill="FFFFFF"/>
        <w:spacing w:after="0" w:line="240" w:lineRule="auto"/>
        <w:rPr>
          <w:rFonts w:ascii="Arial" w:eastAsia="Times New Roman" w:hAnsi="Arial" w:cs="Times New Roman"/>
          <w:kern w:val="0"/>
          <w:sz w:val="24"/>
          <w:szCs w:val="24"/>
          <w:lang w:eastAsia="en-GB"/>
          <w14:ligatures w14:val="none"/>
        </w:rPr>
      </w:pPr>
    </w:p>
    <w:p w14:paraId="0ABE3442" w14:textId="77777777" w:rsidR="00BF2C23" w:rsidRPr="00BF2C23" w:rsidRDefault="00BF2C23" w:rsidP="00BF2C23">
      <w:pPr>
        <w:shd w:val="clear" w:color="auto" w:fill="FFFFFF"/>
        <w:spacing w:after="300"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kern w:val="0"/>
          <w:sz w:val="24"/>
          <w:szCs w:val="24"/>
          <w:lang w:eastAsia="en-GB"/>
          <w14:ligatures w14:val="none"/>
        </w:rPr>
        <w:t>Transgender (trans) people face unique stressors, including the stress some trans people experience when their gender identity is not affirmed. Trans people also experience higher rates of discrimination and harassment than their cisgender counterparts and, as a result, experience poorer mental health outcomes. They are also at a greater risk for suicide as they are twice as likely to think about and attempt suicide than LGB people (Haas et al., 2011; McNeill et al., 2017; Irwin et al., 2014).</w:t>
      </w:r>
    </w:p>
    <w:p w14:paraId="3DE779F4" w14:textId="77777777" w:rsidR="00BF2C23" w:rsidRPr="00BF2C23" w:rsidRDefault="00BF2C23" w:rsidP="00BF2C23">
      <w:pPr>
        <w:shd w:val="clear" w:color="auto" w:fill="FFFFFF"/>
        <w:spacing w:after="300"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b/>
          <w:bCs/>
          <w:kern w:val="0"/>
          <w:sz w:val="24"/>
          <w:szCs w:val="24"/>
          <w:lang w:eastAsia="en-GB"/>
          <w14:ligatures w14:val="none"/>
        </w:rPr>
        <w:t>GENDER IDENTITY</w:t>
      </w:r>
      <w:r w:rsidRPr="00BF2C23">
        <w:rPr>
          <w:rFonts w:ascii="Arial" w:eastAsia="Times New Roman" w:hAnsi="Arial" w:cs="Times New Roman"/>
          <w:kern w:val="0"/>
          <w:sz w:val="24"/>
          <w:szCs w:val="24"/>
          <w:lang w:eastAsia="en-GB"/>
          <w14:ligatures w14:val="none"/>
        </w:rPr>
        <w:t> refers to a personal conception of one’s place on the gender spectrum; the gender that one identifies as may be the same or different from their birth assigned sex.</w:t>
      </w:r>
    </w:p>
    <w:p w14:paraId="743E6565" w14:textId="77777777" w:rsidR="00BF2C23" w:rsidRPr="00BF2C23" w:rsidRDefault="00BF2C23" w:rsidP="00BF2C23">
      <w:pPr>
        <w:shd w:val="clear" w:color="auto" w:fill="FFFFFF"/>
        <w:spacing w:after="300"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b/>
          <w:bCs/>
          <w:kern w:val="0"/>
          <w:sz w:val="24"/>
          <w:szCs w:val="24"/>
          <w:lang w:eastAsia="en-GB"/>
          <w14:ligatures w14:val="none"/>
        </w:rPr>
        <w:t>TRANSGENDER</w:t>
      </w:r>
      <w:r w:rsidRPr="00BF2C23">
        <w:rPr>
          <w:rFonts w:ascii="Arial" w:eastAsia="Times New Roman" w:hAnsi="Arial" w:cs="Times New Roman"/>
          <w:kern w:val="0"/>
          <w:sz w:val="24"/>
          <w:szCs w:val="24"/>
          <w:lang w:eastAsia="en-GB"/>
          <w14:ligatures w14:val="none"/>
        </w:rPr>
        <w:t> (trans) is an umbrella term that represents a wide range of gender identities and expressions. Trans people do not identify either fully or partially with the gender associated with their assigned sex at birth (Canadian Federation of Students, 2017).</w:t>
      </w:r>
    </w:p>
    <w:p w14:paraId="18C4D924" w14:textId="77777777" w:rsidR="00BF2C23" w:rsidRPr="00BF2C23" w:rsidRDefault="00BF2C23" w:rsidP="00BF2C23">
      <w:pPr>
        <w:shd w:val="clear" w:color="auto" w:fill="FFFFFF"/>
        <w:spacing w:after="300"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b/>
          <w:bCs/>
          <w:kern w:val="0"/>
          <w:sz w:val="24"/>
          <w:szCs w:val="24"/>
          <w:lang w:eastAsia="en-GB"/>
          <w14:ligatures w14:val="none"/>
        </w:rPr>
        <w:t>WHY ARE TRANS PEOPLE AT RISK?</w:t>
      </w:r>
      <w:r w:rsidRPr="00BF2C23">
        <w:rPr>
          <w:rFonts w:ascii="Arial" w:eastAsia="Times New Roman" w:hAnsi="Arial" w:cs="Times New Roman"/>
          <w:kern w:val="0"/>
          <w:sz w:val="24"/>
          <w:szCs w:val="24"/>
          <w:lang w:eastAsia="en-GB"/>
          <w14:ligatures w14:val="none"/>
        </w:rPr>
        <w:br/>
        <w:t>There are a few factors that put transgender people at risk of suicide, factors that can put strain on one’s mental health and potentially lead to thoughts of suicide:</w:t>
      </w:r>
    </w:p>
    <w:p w14:paraId="52CB00E2" w14:textId="77777777" w:rsidR="00BF2C23" w:rsidRPr="00BF2C23" w:rsidRDefault="00BF2C23" w:rsidP="00BF2C23">
      <w:pPr>
        <w:numPr>
          <w:ilvl w:val="0"/>
          <w:numId w:val="2"/>
        </w:numPr>
        <w:shd w:val="clear" w:color="auto" w:fill="FFFFFF"/>
        <w:spacing w:before="100" w:beforeAutospacing="1" w:after="100" w:afterAutospacing="1"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kern w:val="0"/>
          <w:sz w:val="24"/>
          <w:szCs w:val="24"/>
          <w:lang w:eastAsia="en-GB"/>
          <w14:ligatures w14:val="none"/>
        </w:rPr>
        <w:t xml:space="preserve">Institutional prejudice manifesting as laws and policies which create inequalities and/or fail to provide protection from </w:t>
      </w:r>
      <w:proofErr w:type="gramStart"/>
      <w:r w:rsidRPr="00BF2C23">
        <w:rPr>
          <w:rFonts w:ascii="Arial" w:eastAsia="Times New Roman" w:hAnsi="Arial" w:cs="Times New Roman"/>
          <w:kern w:val="0"/>
          <w:sz w:val="24"/>
          <w:szCs w:val="24"/>
          <w:lang w:eastAsia="en-GB"/>
          <w14:ligatures w14:val="none"/>
        </w:rPr>
        <w:t>discrimination</w:t>
      </w:r>
      <w:proofErr w:type="gramEnd"/>
    </w:p>
    <w:p w14:paraId="50EDD0E4" w14:textId="77777777" w:rsidR="00BF2C23" w:rsidRPr="00BF2C23" w:rsidRDefault="00BF2C23" w:rsidP="00BF2C23">
      <w:pPr>
        <w:numPr>
          <w:ilvl w:val="0"/>
          <w:numId w:val="2"/>
        </w:numPr>
        <w:shd w:val="clear" w:color="auto" w:fill="FFFFFF"/>
        <w:spacing w:before="100" w:beforeAutospacing="1" w:after="100" w:afterAutospacing="1"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kern w:val="0"/>
          <w:sz w:val="24"/>
          <w:szCs w:val="24"/>
          <w:lang w:eastAsia="en-GB"/>
          <w14:ligatures w14:val="none"/>
        </w:rPr>
        <w:t>Experience of discrimination (transphobia) in the form of physical or verbal harassment, physical or sexual assault</w:t>
      </w:r>
    </w:p>
    <w:p w14:paraId="4E739F28" w14:textId="77777777" w:rsidR="00BF2C23" w:rsidRPr="00BF2C23" w:rsidRDefault="00BF2C23" w:rsidP="00BF2C23">
      <w:pPr>
        <w:numPr>
          <w:ilvl w:val="0"/>
          <w:numId w:val="2"/>
        </w:numPr>
        <w:shd w:val="clear" w:color="auto" w:fill="FFFFFF"/>
        <w:spacing w:before="100" w:beforeAutospacing="1" w:after="100" w:afterAutospacing="1"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kern w:val="0"/>
          <w:sz w:val="24"/>
          <w:szCs w:val="24"/>
          <w:lang w:eastAsia="en-GB"/>
          <w14:ligatures w14:val="none"/>
        </w:rPr>
        <w:t>Lack of support from parents and other family members</w:t>
      </w:r>
    </w:p>
    <w:p w14:paraId="44ADA3B0" w14:textId="77777777" w:rsidR="00BF2C23" w:rsidRPr="00BF2C23" w:rsidRDefault="00BF2C23" w:rsidP="00BF2C23">
      <w:pPr>
        <w:numPr>
          <w:ilvl w:val="0"/>
          <w:numId w:val="2"/>
        </w:numPr>
        <w:shd w:val="clear" w:color="auto" w:fill="FFFFFF"/>
        <w:spacing w:before="100" w:beforeAutospacing="1" w:after="100" w:afterAutospacing="1"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kern w:val="0"/>
          <w:sz w:val="24"/>
          <w:szCs w:val="24"/>
          <w:lang w:eastAsia="en-GB"/>
          <w14:ligatures w14:val="none"/>
        </w:rPr>
        <w:t xml:space="preserve">Stress related to fear of transitioning, including the potential backlash and life disruption, as well as considering the risks and sometimes lengthy time period </w:t>
      </w:r>
      <w:proofErr w:type="gramStart"/>
      <w:r w:rsidRPr="00BF2C23">
        <w:rPr>
          <w:rFonts w:ascii="Arial" w:eastAsia="Times New Roman" w:hAnsi="Arial" w:cs="Times New Roman"/>
          <w:kern w:val="0"/>
          <w:sz w:val="24"/>
          <w:szCs w:val="24"/>
          <w:lang w:eastAsia="en-GB"/>
          <w14:ligatures w14:val="none"/>
        </w:rPr>
        <w:t>involved</w:t>
      </w:r>
      <w:proofErr w:type="gramEnd"/>
    </w:p>
    <w:p w14:paraId="546D6ED4" w14:textId="77777777" w:rsidR="00BF2C23" w:rsidRPr="00BF2C23" w:rsidRDefault="00BF2C23" w:rsidP="00BF2C23">
      <w:pPr>
        <w:numPr>
          <w:ilvl w:val="0"/>
          <w:numId w:val="2"/>
        </w:numPr>
        <w:shd w:val="clear" w:color="auto" w:fill="FFFFFF"/>
        <w:spacing w:before="100" w:beforeAutospacing="1" w:after="100" w:afterAutospacing="1"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kern w:val="0"/>
          <w:sz w:val="24"/>
          <w:szCs w:val="24"/>
          <w:lang w:eastAsia="en-GB"/>
          <w14:ligatures w14:val="none"/>
        </w:rPr>
        <w:t xml:space="preserve">Gender dysphoria, or distress related to a conflict between one’s physical or assigned gender and the gender with which they identify (Bailey et al., 2014; Haas et al., 2011; Suicide Prevention Resource </w:t>
      </w:r>
      <w:proofErr w:type="spellStart"/>
      <w:r w:rsidRPr="00BF2C23">
        <w:rPr>
          <w:rFonts w:ascii="Arial" w:eastAsia="Times New Roman" w:hAnsi="Arial" w:cs="Times New Roman"/>
          <w:kern w:val="0"/>
          <w:sz w:val="24"/>
          <w:szCs w:val="24"/>
          <w:lang w:eastAsia="en-GB"/>
          <w14:ligatures w14:val="none"/>
        </w:rPr>
        <w:t>Center</w:t>
      </w:r>
      <w:proofErr w:type="spellEnd"/>
      <w:r w:rsidRPr="00BF2C23">
        <w:rPr>
          <w:rFonts w:ascii="Arial" w:eastAsia="Times New Roman" w:hAnsi="Arial" w:cs="Times New Roman"/>
          <w:kern w:val="0"/>
          <w:sz w:val="24"/>
          <w:szCs w:val="24"/>
          <w:lang w:eastAsia="en-GB"/>
          <w14:ligatures w14:val="none"/>
        </w:rPr>
        <w:t xml:space="preserve"> [SPRC], 2008; Taylor et al., 2011).</w:t>
      </w:r>
    </w:p>
    <w:p w14:paraId="05419755" w14:textId="77777777" w:rsidR="00BF2C23" w:rsidRPr="00BF2C23" w:rsidRDefault="00BF2C23" w:rsidP="00BF2C23">
      <w:pPr>
        <w:shd w:val="clear" w:color="auto" w:fill="FFFFFF"/>
        <w:spacing w:after="0"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noProof/>
          <w:kern w:val="0"/>
          <w:sz w:val="24"/>
          <w:szCs w:val="24"/>
          <w:lang w:eastAsia="en-GB"/>
          <w14:ligatures w14:val="none"/>
        </w:rPr>
        <w:lastRenderedPageBreak/>
        <w:drawing>
          <wp:inline distT="0" distB="0" distL="0" distR="0" wp14:anchorId="72C9575B" wp14:editId="31292B61">
            <wp:extent cx="3952875" cy="3952875"/>
            <wp:effectExtent l="0" t="0" r="9525" b="952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2875" cy="3952875"/>
                    </a:xfrm>
                    <a:prstGeom prst="rect">
                      <a:avLst/>
                    </a:prstGeom>
                    <a:noFill/>
                    <a:ln>
                      <a:noFill/>
                    </a:ln>
                  </pic:spPr>
                </pic:pic>
              </a:graphicData>
            </a:graphic>
          </wp:inline>
        </w:drawing>
      </w:r>
      <w:r w:rsidRPr="00BF2C23">
        <w:rPr>
          <w:rFonts w:ascii="Arial" w:eastAsia="Times New Roman" w:hAnsi="Arial" w:cs="Times New Roman"/>
          <w:kern w:val="0"/>
          <w:sz w:val="24"/>
          <w:szCs w:val="24"/>
          <w:lang w:eastAsia="en-GB"/>
          <w14:ligatures w14:val="none"/>
        </w:rPr>
        <w:t>1 in 3 trans youth attempted suicide in the past year (Veale et al., 2015).</w:t>
      </w:r>
    </w:p>
    <w:p w14:paraId="405742F7" w14:textId="77777777" w:rsidR="00BF2C23" w:rsidRPr="00BF2C23" w:rsidRDefault="00BF2C23" w:rsidP="00BF2C23">
      <w:pPr>
        <w:shd w:val="clear" w:color="auto" w:fill="FFFFFF"/>
        <w:spacing w:after="360" w:line="600" w:lineRule="atLeast"/>
        <w:outlineLvl w:val="1"/>
        <w:rPr>
          <w:rFonts w:ascii="Arial" w:eastAsia="Times New Roman" w:hAnsi="Arial" w:cs="Times New Roman"/>
          <w:kern w:val="0"/>
          <w:sz w:val="54"/>
          <w:szCs w:val="54"/>
          <w:lang w:eastAsia="en-GB"/>
          <w14:ligatures w14:val="none"/>
        </w:rPr>
      </w:pPr>
      <w:r w:rsidRPr="00BF2C23">
        <w:rPr>
          <w:rFonts w:ascii="Arial" w:eastAsia="Times New Roman" w:hAnsi="Arial" w:cs="Times New Roman"/>
          <w:kern w:val="0"/>
          <w:sz w:val="54"/>
          <w:szCs w:val="54"/>
          <w:lang w:eastAsia="en-GB"/>
          <w14:ligatures w14:val="none"/>
        </w:rPr>
        <w:t>What can reduce risk?</w:t>
      </w:r>
    </w:p>
    <w:p w14:paraId="6EB0C236" w14:textId="77777777" w:rsidR="00BF2C23" w:rsidRPr="00BF2C23" w:rsidRDefault="00BF2C23" w:rsidP="00BF2C23">
      <w:pPr>
        <w:numPr>
          <w:ilvl w:val="0"/>
          <w:numId w:val="3"/>
        </w:numPr>
        <w:shd w:val="clear" w:color="auto" w:fill="FFFFFF"/>
        <w:spacing w:before="100" w:beforeAutospacing="1" w:after="100" w:afterAutospacing="1"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kern w:val="0"/>
          <w:sz w:val="24"/>
          <w:szCs w:val="24"/>
          <w:lang w:eastAsia="en-GB"/>
          <w14:ligatures w14:val="none"/>
        </w:rPr>
        <w:t>Supportive and strong relationships with family and friends</w:t>
      </w:r>
    </w:p>
    <w:p w14:paraId="0E179292" w14:textId="77777777" w:rsidR="00BF2C23" w:rsidRPr="00BF2C23" w:rsidRDefault="00BF2C23" w:rsidP="00BF2C23">
      <w:pPr>
        <w:numPr>
          <w:ilvl w:val="0"/>
          <w:numId w:val="3"/>
        </w:numPr>
        <w:shd w:val="clear" w:color="auto" w:fill="FFFFFF"/>
        <w:spacing w:before="100" w:beforeAutospacing="1" w:after="100" w:afterAutospacing="1"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kern w:val="0"/>
          <w:sz w:val="24"/>
          <w:szCs w:val="24"/>
          <w:lang w:eastAsia="en-GB"/>
          <w14:ligatures w14:val="none"/>
        </w:rPr>
        <w:t>Completed medical transition (if medical transition is desired)</w:t>
      </w:r>
    </w:p>
    <w:p w14:paraId="395EB5BE" w14:textId="77777777" w:rsidR="00BF2C23" w:rsidRPr="00BF2C23" w:rsidRDefault="00BF2C23" w:rsidP="00BF2C23">
      <w:pPr>
        <w:numPr>
          <w:ilvl w:val="0"/>
          <w:numId w:val="3"/>
        </w:numPr>
        <w:shd w:val="clear" w:color="auto" w:fill="FFFFFF"/>
        <w:spacing w:before="100" w:beforeAutospacing="1" w:after="100" w:afterAutospacing="1"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kern w:val="0"/>
          <w:sz w:val="24"/>
          <w:szCs w:val="24"/>
          <w:lang w:eastAsia="en-GB"/>
          <w14:ligatures w14:val="none"/>
        </w:rPr>
        <w:t>Self-awareness and acceptance</w:t>
      </w:r>
    </w:p>
    <w:p w14:paraId="016F178A" w14:textId="77777777" w:rsidR="00BF2C23" w:rsidRPr="00BF2C23" w:rsidRDefault="00BF2C23" w:rsidP="00BF2C23">
      <w:pPr>
        <w:numPr>
          <w:ilvl w:val="0"/>
          <w:numId w:val="3"/>
        </w:numPr>
        <w:shd w:val="clear" w:color="auto" w:fill="FFFFFF"/>
        <w:spacing w:before="100" w:beforeAutospacing="1" w:after="100" w:afterAutospacing="1"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kern w:val="0"/>
          <w:sz w:val="24"/>
          <w:szCs w:val="24"/>
          <w:lang w:eastAsia="en-GB"/>
          <w14:ligatures w14:val="none"/>
        </w:rPr>
        <w:t xml:space="preserve">Access to gender affirming health </w:t>
      </w:r>
      <w:proofErr w:type="gramStart"/>
      <w:r w:rsidRPr="00BF2C23">
        <w:rPr>
          <w:rFonts w:ascii="Arial" w:eastAsia="Times New Roman" w:hAnsi="Arial" w:cs="Times New Roman"/>
          <w:kern w:val="0"/>
          <w:sz w:val="24"/>
          <w:szCs w:val="24"/>
          <w:lang w:eastAsia="en-GB"/>
          <w14:ligatures w14:val="none"/>
        </w:rPr>
        <w:t>care</w:t>
      </w:r>
      <w:proofErr w:type="gramEnd"/>
    </w:p>
    <w:p w14:paraId="1DE6B09F" w14:textId="77777777" w:rsidR="00BF2C23" w:rsidRPr="00BF2C23" w:rsidRDefault="00BF2C23" w:rsidP="00BF2C23">
      <w:pPr>
        <w:numPr>
          <w:ilvl w:val="0"/>
          <w:numId w:val="3"/>
        </w:numPr>
        <w:shd w:val="clear" w:color="auto" w:fill="FFFFFF"/>
        <w:spacing w:before="100" w:beforeAutospacing="1" w:after="100" w:afterAutospacing="1"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kern w:val="0"/>
          <w:sz w:val="24"/>
          <w:szCs w:val="24"/>
          <w:lang w:eastAsia="en-GB"/>
          <w14:ligatures w14:val="none"/>
        </w:rPr>
        <w:t>Not having access to lethal means such as guns or potentially deadly medications</w:t>
      </w:r>
    </w:p>
    <w:p w14:paraId="3612930A" w14:textId="77777777" w:rsidR="00BF2C23" w:rsidRPr="00BF2C23" w:rsidRDefault="00BF2C23" w:rsidP="00BF2C23">
      <w:pPr>
        <w:numPr>
          <w:ilvl w:val="0"/>
          <w:numId w:val="3"/>
        </w:numPr>
        <w:shd w:val="clear" w:color="auto" w:fill="FFFFFF"/>
        <w:spacing w:before="100" w:beforeAutospacing="1" w:after="100" w:afterAutospacing="1"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kern w:val="0"/>
          <w:sz w:val="24"/>
          <w:szCs w:val="24"/>
          <w:lang w:eastAsia="en-GB"/>
          <w14:ligatures w14:val="none"/>
        </w:rPr>
        <w:t>Having one’s name and pronouns accepted (Bailey et al., 2014; Bauer et al., 2015a; Haas et al., 2011; SPRC, 2008).</w:t>
      </w:r>
    </w:p>
    <w:p w14:paraId="019FAC5C" w14:textId="77777777" w:rsidR="00BF2C23" w:rsidRPr="00BF2C23" w:rsidRDefault="00BF2C23" w:rsidP="00BF2C23">
      <w:pPr>
        <w:shd w:val="clear" w:color="auto" w:fill="FFFFFF"/>
        <w:spacing w:after="300"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b/>
          <w:bCs/>
          <w:kern w:val="0"/>
          <w:sz w:val="24"/>
          <w:szCs w:val="24"/>
          <w:lang w:eastAsia="en-GB"/>
          <w14:ligatures w14:val="none"/>
        </w:rPr>
        <w:t>WARNING SIGNS</w:t>
      </w:r>
    </w:p>
    <w:p w14:paraId="65A3E663" w14:textId="77777777" w:rsidR="00BF2C23" w:rsidRPr="00BF2C23" w:rsidRDefault="00BF2C23" w:rsidP="00BF2C23">
      <w:pPr>
        <w:shd w:val="clear" w:color="auto" w:fill="FFFFFF"/>
        <w:spacing w:after="300"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kern w:val="0"/>
          <w:sz w:val="24"/>
          <w:szCs w:val="24"/>
          <w:lang w:eastAsia="en-GB"/>
          <w14:ligatures w14:val="none"/>
        </w:rPr>
        <w:t>Any significant change in behaviour or mood is a warning sign that someone may be thinking about suicide, for example:</w:t>
      </w:r>
    </w:p>
    <w:p w14:paraId="5BCA612B" w14:textId="77777777" w:rsidR="00BF2C23" w:rsidRPr="00BF2C23" w:rsidRDefault="00BF2C23" w:rsidP="00BF2C23">
      <w:pPr>
        <w:numPr>
          <w:ilvl w:val="0"/>
          <w:numId w:val="4"/>
        </w:numPr>
        <w:shd w:val="clear" w:color="auto" w:fill="FFFFFF"/>
        <w:spacing w:before="100" w:beforeAutospacing="1" w:after="100" w:afterAutospacing="1"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kern w:val="0"/>
          <w:sz w:val="24"/>
          <w:szCs w:val="24"/>
          <w:lang w:eastAsia="en-GB"/>
          <w14:ligatures w14:val="none"/>
        </w:rPr>
        <w:t xml:space="preserve">Losing interest in a previously enjoyed hobby or </w:t>
      </w:r>
      <w:proofErr w:type="gramStart"/>
      <w:r w:rsidRPr="00BF2C23">
        <w:rPr>
          <w:rFonts w:ascii="Arial" w:eastAsia="Times New Roman" w:hAnsi="Arial" w:cs="Times New Roman"/>
          <w:kern w:val="0"/>
          <w:sz w:val="24"/>
          <w:szCs w:val="24"/>
          <w:lang w:eastAsia="en-GB"/>
          <w14:ligatures w14:val="none"/>
        </w:rPr>
        <w:t>activity</w:t>
      </w:r>
      <w:proofErr w:type="gramEnd"/>
    </w:p>
    <w:p w14:paraId="7DFEA7ED" w14:textId="77777777" w:rsidR="00BF2C23" w:rsidRPr="00BF2C23" w:rsidRDefault="00BF2C23" w:rsidP="00BF2C23">
      <w:pPr>
        <w:numPr>
          <w:ilvl w:val="0"/>
          <w:numId w:val="4"/>
        </w:numPr>
        <w:shd w:val="clear" w:color="auto" w:fill="FFFFFF"/>
        <w:spacing w:before="100" w:beforeAutospacing="1" w:after="100" w:afterAutospacing="1"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kern w:val="0"/>
          <w:sz w:val="24"/>
          <w:szCs w:val="24"/>
          <w:lang w:eastAsia="en-GB"/>
          <w14:ligatures w14:val="none"/>
        </w:rPr>
        <w:t>Disconnecting from friends or family (not calling as much, not going out)</w:t>
      </w:r>
    </w:p>
    <w:p w14:paraId="2D7D3239" w14:textId="77777777" w:rsidR="00BF2C23" w:rsidRPr="00BF2C23" w:rsidRDefault="00BF2C23" w:rsidP="00BF2C23">
      <w:pPr>
        <w:numPr>
          <w:ilvl w:val="0"/>
          <w:numId w:val="4"/>
        </w:numPr>
        <w:shd w:val="clear" w:color="auto" w:fill="FFFFFF"/>
        <w:spacing w:before="100" w:beforeAutospacing="1" w:after="100" w:afterAutospacing="1"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kern w:val="0"/>
          <w:sz w:val="24"/>
          <w:szCs w:val="24"/>
          <w:lang w:eastAsia="en-GB"/>
          <w14:ligatures w14:val="none"/>
        </w:rPr>
        <w:t xml:space="preserve">Change in sleeping or eating </w:t>
      </w:r>
      <w:proofErr w:type="gramStart"/>
      <w:r w:rsidRPr="00BF2C23">
        <w:rPr>
          <w:rFonts w:ascii="Arial" w:eastAsia="Times New Roman" w:hAnsi="Arial" w:cs="Times New Roman"/>
          <w:kern w:val="0"/>
          <w:sz w:val="24"/>
          <w:szCs w:val="24"/>
          <w:lang w:eastAsia="en-GB"/>
          <w14:ligatures w14:val="none"/>
        </w:rPr>
        <w:t>patterns</w:t>
      </w:r>
      <w:proofErr w:type="gramEnd"/>
    </w:p>
    <w:p w14:paraId="36FC89C0" w14:textId="77777777" w:rsidR="00BF2C23" w:rsidRPr="00BF2C23" w:rsidRDefault="00BF2C23" w:rsidP="00BF2C23">
      <w:pPr>
        <w:numPr>
          <w:ilvl w:val="0"/>
          <w:numId w:val="4"/>
        </w:numPr>
        <w:shd w:val="clear" w:color="auto" w:fill="FFFFFF"/>
        <w:spacing w:before="100" w:beforeAutospacing="1" w:after="100" w:afterAutospacing="1" w:line="240" w:lineRule="auto"/>
        <w:rPr>
          <w:rFonts w:ascii="Arial" w:eastAsia="Times New Roman" w:hAnsi="Arial" w:cs="Times New Roman"/>
          <w:kern w:val="0"/>
          <w:sz w:val="24"/>
          <w:szCs w:val="24"/>
          <w:lang w:eastAsia="en-GB"/>
          <w14:ligatures w14:val="none"/>
        </w:rPr>
      </w:pPr>
      <w:r w:rsidRPr="00BF2C23">
        <w:rPr>
          <w:rFonts w:ascii="Arial" w:eastAsia="Times New Roman" w:hAnsi="Arial" w:cs="Times New Roman"/>
          <w:kern w:val="0"/>
          <w:sz w:val="24"/>
          <w:szCs w:val="24"/>
          <w:lang w:eastAsia="en-GB"/>
          <w14:ligatures w14:val="none"/>
        </w:rPr>
        <w:t>Increased and excessive drug and/or alcohol use</w:t>
      </w:r>
    </w:p>
    <w:p w14:paraId="4C5AF1FA" w14:textId="77777777" w:rsidR="00BF2C23" w:rsidRDefault="00BF2C23"/>
    <w:sectPr w:rsidR="00BF2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52A2"/>
    <w:multiLevelType w:val="multilevel"/>
    <w:tmpl w:val="B14C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BE7931"/>
    <w:multiLevelType w:val="multilevel"/>
    <w:tmpl w:val="4996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95171"/>
    <w:multiLevelType w:val="multilevel"/>
    <w:tmpl w:val="2314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437266"/>
    <w:multiLevelType w:val="multilevel"/>
    <w:tmpl w:val="FE30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6178781">
    <w:abstractNumId w:val="3"/>
  </w:num>
  <w:num w:numId="2" w16cid:durableId="687802853">
    <w:abstractNumId w:val="1"/>
  </w:num>
  <w:num w:numId="3" w16cid:durableId="1086609463">
    <w:abstractNumId w:val="2"/>
  </w:num>
  <w:num w:numId="4" w16cid:durableId="27991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23"/>
    <w:rsid w:val="000861A3"/>
    <w:rsid w:val="00BF2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9467"/>
  <w15:chartTrackingRefBased/>
  <w15:docId w15:val="{FD236CE7-46E8-4E5F-91FB-51E4EFE1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011700">
      <w:bodyDiv w:val="1"/>
      <w:marLeft w:val="0"/>
      <w:marRight w:val="0"/>
      <w:marTop w:val="0"/>
      <w:marBottom w:val="0"/>
      <w:divBdr>
        <w:top w:val="none" w:sz="0" w:space="0" w:color="auto"/>
        <w:left w:val="none" w:sz="0" w:space="0" w:color="auto"/>
        <w:bottom w:val="none" w:sz="0" w:space="0" w:color="auto"/>
        <w:right w:val="none" w:sz="0" w:space="0" w:color="auto"/>
      </w:divBdr>
      <w:divsChild>
        <w:div w:id="491454563">
          <w:marLeft w:val="0"/>
          <w:marRight w:val="0"/>
          <w:marTop w:val="0"/>
          <w:marBottom w:val="300"/>
          <w:divBdr>
            <w:top w:val="none" w:sz="0" w:space="0" w:color="auto"/>
            <w:left w:val="none" w:sz="0" w:space="0" w:color="auto"/>
            <w:bottom w:val="none" w:sz="0" w:space="0" w:color="auto"/>
            <w:right w:val="none" w:sz="0" w:space="0" w:color="auto"/>
          </w:divBdr>
          <w:divsChild>
            <w:div w:id="233778954">
              <w:marLeft w:val="0"/>
              <w:marRight w:val="0"/>
              <w:marTop w:val="0"/>
              <w:marBottom w:val="0"/>
              <w:divBdr>
                <w:top w:val="none" w:sz="0" w:space="0" w:color="auto"/>
                <w:left w:val="none" w:sz="0" w:space="0" w:color="auto"/>
                <w:bottom w:val="none" w:sz="0" w:space="0" w:color="auto"/>
                <w:right w:val="none" w:sz="0" w:space="0" w:color="auto"/>
              </w:divBdr>
            </w:div>
          </w:divsChild>
        </w:div>
        <w:div w:id="992218999">
          <w:marLeft w:val="0"/>
          <w:marRight w:val="0"/>
          <w:marTop w:val="0"/>
          <w:marBottom w:val="300"/>
          <w:divBdr>
            <w:top w:val="none" w:sz="0" w:space="0" w:color="auto"/>
            <w:left w:val="none" w:sz="0" w:space="0" w:color="auto"/>
            <w:bottom w:val="none" w:sz="0" w:space="0" w:color="auto"/>
            <w:right w:val="none" w:sz="0" w:space="0" w:color="auto"/>
          </w:divBdr>
          <w:divsChild>
            <w:div w:id="1079526096">
              <w:marLeft w:val="0"/>
              <w:marRight w:val="0"/>
              <w:marTop w:val="0"/>
              <w:marBottom w:val="0"/>
              <w:divBdr>
                <w:top w:val="none" w:sz="0" w:space="0" w:color="auto"/>
                <w:left w:val="none" w:sz="0" w:space="0" w:color="auto"/>
                <w:bottom w:val="none" w:sz="0" w:space="0" w:color="auto"/>
                <w:right w:val="none" w:sz="0" w:space="0" w:color="auto"/>
              </w:divBdr>
            </w:div>
          </w:divsChild>
        </w:div>
        <w:div w:id="2084717200">
          <w:marLeft w:val="0"/>
          <w:marRight w:val="0"/>
          <w:marTop w:val="0"/>
          <w:marBottom w:val="300"/>
          <w:divBdr>
            <w:top w:val="none" w:sz="0" w:space="0" w:color="auto"/>
            <w:left w:val="none" w:sz="0" w:space="0" w:color="auto"/>
            <w:bottom w:val="none" w:sz="0" w:space="0" w:color="auto"/>
            <w:right w:val="none" w:sz="0" w:space="0" w:color="auto"/>
          </w:divBdr>
          <w:divsChild>
            <w:div w:id="817770359">
              <w:marLeft w:val="0"/>
              <w:marRight w:val="0"/>
              <w:marTop w:val="0"/>
              <w:marBottom w:val="300"/>
              <w:divBdr>
                <w:top w:val="none" w:sz="0" w:space="0" w:color="auto"/>
                <w:left w:val="none" w:sz="0" w:space="0" w:color="auto"/>
                <w:bottom w:val="none" w:sz="0" w:space="0" w:color="auto"/>
                <w:right w:val="none" w:sz="0" w:space="0" w:color="auto"/>
              </w:divBdr>
              <w:divsChild>
                <w:div w:id="552887121">
                  <w:marLeft w:val="0"/>
                  <w:marRight w:val="0"/>
                  <w:marTop w:val="0"/>
                  <w:marBottom w:val="0"/>
                  <w:divBdr>
                    <w:top w:val="none" w:sz="0" w:space="0" w:color="auto"/>
                    <w:left w:val="none" w:sz="0" w:space="0" w:color="auto"/>
                    <w:bottom w:val="none" w:sz="0" w:space="0" w:color="auto"/>
                    <w:right w:val="none" w:sz="0" w:space="0" w:color="auto"/>
                  </w:divBdr>
                  <w:divsChild>
                    <w:div w:id="2294754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171B99C50E747B15402E98116FB4B" ma:contentTypeVersion="12" ma:contentTypeDescription="Create a new document." ma:contentTypeScope="" ma:versionID="15fc4f8c1cc2466867638c58abfe7797">
  <xsd:schema xmlns:xsd="http://www.w3.org/2001/XMLSchema" xmlns:xs="http://www.w3.org/2001/XMLSchema" xmlns:p="http://schemas.microsoft.com/office/2006/metadata/properties" xmlns:ns2="dcc32b07-6c3f-4778-9ea6-0fee3f9cb6ba" xmlns:ns3="3ab93a67-9dd4-4c89-b595-21b9acebbe6b" targetNamespace="http://schemas.microsoft.com/office/2006/metadata/properties" ma:root="true" ma:fieldsID="e6dc13030d389459cef67defbd1dc699" ns2:_="" ns3:_="">
    <xsd:import namespace="dcc32b07-6c3f-4778-9ea6-0fee3f9cb6ba"/>
    <xsd:import namespace="3ab93a67-9dd4-4c89-b595-21b9acebbe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2b07-6c3f-4778-9ea6-0fee3f9cb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aa49f06-9ad4-4da2-ace9-1d158dbee44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b93a67-9dd4-4c89-b595-21b9acebbe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1e0644-1cdc-4642-979f-49586569d627}" ma:internalName="TaxCatchAll" ma:showField="CatchAllData" ma:web="3ab93a67-9dd4-4c89-b595-21b9acebbe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72A40B-6652-4903-9205-2E069E248858}"/>
</file>

<file path=customXml/itemProps2.xml><?xml version="1.0" encoding="utf-8"?>
<ds:datastoreItem xmlns:ds="http://schemas.openxmlformats.org/officeDocument/2006/customXml" ds:itemID="{40218D2E-B681-4787-9568-088752776460}"/>
</file>

<file path=docProps/app.xml><?xml version="1.0" encoding="utf-8"?>
<Properties xmlns="http://schemas.openxmlformats.org/officeDocument/2006/extended-properties" xmlns:vt="http://schemas.openxmlformats.org/officeDocument/2006/docPropsVTypes">
  <Template>Normal.dotm</Template>
  <TotalTime>3</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Belinda</cp:lastModifiedBy>
  <cp:revision>3</cp:revision>
  <cp:lastPrinted>2023-07-20T11:15:00Z</cp:lastPrinted>
  <dcterms:created xsi:type="dcterms:W3CDTF">2023-03-15T10:17:00Z</dcterms:created>
  <dcterms:modified xsi:type="dcterms:W3CDTF">2023-07-20T11:17:00Z</dcterms:modified>
</cp:coreProperties>
</file>