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235" w:rsidRPr="00087AB4" w:rsidRDefault="00F32235" w:rsidP="00F31B10">
      <w:pPr>
        <w:pBdr>
          <w:bottom w:val="single" w:sz="8" w:space="0" w:color="009294"/>
        </w:pBdr>
        <w:shd w:val="clear" w:color="auto" w:fill="FFFFFF"/>
        <w:spacing w:beforeAutospacing="1" w:after="100" w:afterAutospacing="1" w:line="336" w:lineRule="auto"/>
        <w:outlineLvl w:val="1"/>
        <w:rPr>
          <w:rFonts w:ascii="Arial" w:eastAsia="Times New Roman" w:hAnsi="Arial" w:cs="Arial"/>
          <w:b/>
          <w:bCs/>
          <w:color w:val="50575B"/>
          <w:sz w:val="32"/>
          <w:szCs w:val="32"/>
          <w:lang w:val="en-GB"/>
        </w:rPr>
      </w:pPr>
      <w:r w:rsidRPr="00087AB4">
        <w:rPr>
          <w:rFonts w:ascii="Arial" w:eastAsia="Times New Roman" w:hAnsi="Arial" w:cs="Arial"/>
          <w:b/>
          <w:bCs/>
          <w:color w:val="50575B"/>
          <w:sz w:val="32"/>
          <w:szCs w:val="32"/>
          <w:lang w:val="en-GB"/>
        </w:rPr>
        <w:t>Guidance for HSWF volunteers:</w:t>
      </w:r>
    </w:p>
    <w:p w:rsidR="00F32235" w:rsidRPr="00087AB4" w:rsidRDefault="00F32235" w:rsidP="00F31B10">
      <w:pPr>
        <w:pBdr>
          <w:bottom w:val="single" w:sz="8" w:space="0" w:color="009294"/>
        </w:pBdr>
        <w:shd w:val="clear" w:color="auto" w:fill="FFFFFF"/>
        <w:spacing w:beforeAutospacing="1" w:after="100" w:afterAutospacing="1" w:line="336" w:lineRule="auto"/>
        <w:outlineLvl w:val="1"/>
        <w:rPr>
          <w:rFonts w:ascii="Arial" w:eastAsia="Times New Roman" w:hAnsi="Arial" w:cs="Arial"/>
          <w:b/>
          <w:bCs/>
          <w:color w:val="50575B"/>
          <w:sz w:val="32"/>
          <w:szCs w:val="32"/>
          <w:lang w:val="en-GB"/>
        </w:rPr>
      </w:pPr>
      <w:r w:rsidRPr="00087AB4">
        <w:rPr>
          <w:rFonts w:ascii="Arial" w:eastAsia="Times New Roman" w:hAnsi="Arial" w:cs="Arial"/>
          <w:b/>
          <w:bCs/>
          <w:color w:val="50575B"/>
          <w:sz w:val="32"/>
          <w:szCs w:val="32"/>
          <w:lang w:val="en-GB"/>
        </w:rPr>
        <w:t>Safeguarding Adolescents</w:t>
      </w:r>
    </w:p>
    <w:p w:rsidR="00F32235" w:rsidRPr="00087AB4" w:rsidRDefault="00F32235" w:rsidP="00F31B10">
      <w:pPr>
        <w:pBdr>
          <w:bottom w:val="single" w:sz="8" w:space="0" w:color="009294"/>
        </w:pBdr>
        <w:shd w:val="clear" w:color="auto" w:fill="FFFFFF"/>
        <w:spacing w:beforeAutospacing="1" w:after="100" w:afterAutospacing="1" w:line="336" w:lineRule="auto"/>
        <w:outlineLvl w:val="1"/>
        <w:rPr>
          <w:rFonts w:ascii="Arial" w:eastAsia="Times New Roman" w:hAnsi="Arial" w:cs="Arial"/>
          <w:b/>
          <w:bCs/>
          <w:color w:val="50575B"/>
          <w:sz w:val="32"/>
          <w:szCs w:val="32"/>
          <w:lang w:val="en-GB"/>
        </w:rPr>
      </w:pPr>
      <w:r w:rsidRPr="00087AB4">
        <w:rPr>
          <w:rFonts w:ascii="Arial" w:eastAsia="Times New Roman" w:hAnsi="Arial" w:cs="Arial"/>
          <w:b/>
          <w:bCs/>
          <w:color w:val="50575B"/>
          <w:sz w:val="32"/>
          <w:szCs w:val="32"/>
          <w:lang w:val="en-GB"/>
        </w:rPr>
        <w:t>This guidance is in line with the West Mercia Interagency Procedures and complies with the HSWF Child Protection Processes. If you are concerned about the welfare of an older child, please discuss with your Co-ordinator immediately.</w:t>
      </w:r>
    </w:p>
    <w:p w:rsidR="00F31B10" w:rsidRPr="00F31B10" w:rsidRDefault="00F32235" w:rsidP="00F31B10">
      <w:pPr>
        <w:pBdr>
          <w:bottom w:val="single" w:sz="8" w:space="0" w:color="009294"/>
        </w:pBdr>
        <w:shd w:val="clear" w:color="auto" w:fill="FFFFFF"/>
        <w:spacing w:beforeAutospacing="1" w:after="100" w:afterAutospacing="1" w:line="336" w:lineRule="auto"/>
        <w:outlineLvl w:val="1"/>
        <w:rPr>
          <w:rFonts w:ascii="Arial" w:eastAsia="Times New Roman" w:hAnsi="Arial" w:cs="Arial"/>
          <w:b/>
          <w:bCs/>
          <w:color w:val="50575B"/>
          <w:sz w:val="23"/>
          <w:szCs w:val="23"/>
          <w:lang w:val="en-GB"/>
        </w:rPr>
      </w:pPr>
      <w:r>
        <w:rPr>
          <w:rFonts w:ascii="Arial" w:eastAsia="Times New Roman" w:hAnsi="Arial" w:cs="Arial"/>
          <w:b/>
          <w:bCs/>
          <w:color w:val="50575B"/>
          <w:sz w:val="24"/>
          <w:szCs w:val="24"/>
          <w:lang w:val="en-GB"/>
        </w:rPr>
        <w:t>Children under 13</w:t>
      </w:r>
      <w:bookmarkStart w:id="0" w:name="under"/>
      <w:bookmarkEnd w:id="0"/>
      <w:r>
        <w:rPr>
          <w:rFonts w:ascii="Arial" w:eastAsia="Times New Roman" w:hAnsi="Arial" w:cs="Arial"/>
          <w:b/>
          <w:bCs/>
          <w:color w:val="50575B"/>
          <w:sz w:val="24"/>
          <w:szCs w:val="24"/>
          <w:lang w:val="en-GB"/>
        </w:rPr>
        <w:t xml:space="preserve"> </w:t>
      </w:r>
      <w:r w:rsidR="00F31B10" w:rsidRPr="00F31B10">
        <w:rPr>
          <w:rFonts w:ascii="Arial" w:eastAsia="Times New Roman" w:hAnsi="Arial" w:cs="Arial"/>
          <w:b/>
          <w:bCs/>
          <w:color w:val="50575B"/>
          <w:sz w:val="23"/>
          <w:szCs w:val="23"/>
          <w:lang w:val="en-GB"/>
        </w:rPr>
        <w:t>Year</w:t>
      </w:r>
      <w:r>
        <w:rPr>
          <w:rFonts w:ascii="Arial" w:eastAsia="Times New Roman" w:hAnsi="Arial" w:cs="Arial"/>
          <w:b/>
          <w:bCs/>
          <w:color w:val="50575B"/>
          <w:sz w:val="23"/>
          <w:szCs w:val="23"/>
          <w:lang w:val="en-GB"/>
        </w:rPr>
        <w:t>s of age</w:t>
      </w:r>
    </w:p>
    <w:tbl>
      <w:tblPr>
        <w:tblW w:w="4750" w:type="pct"/>
        <w:tblCellSpacing w:w="0" w:type="dxa"/>
        <w:tblCellMar>
          <w:top w:w="75" w:type="dxa"/>
          <w:left w:w="75" w:type="dxa"/>
          <w:bottom w:w="75" w:type="dxa"/>
          <w:right w:w="75" w:type="dxa"/>
        </w:tblCellMar>
        <w:tblLook w:val="04A0"/>
      </w:tblPr>
      <w:tblGrid>
        <w:gridCol w:w="271"/>
        <w:gridCol w:w="8764"/>
      </w:tblGrid>
      <w:tr w:rsidR="00F31B10" w:rsidRPr="00F31B10" w:rsidTr="00F31B10">
        <w:trPr>
          <w:tblCellSpacing w:w="0" w:type="dxa"/>
        </w:trPr>
        <w:tc>
          <w:tcPr>
            <w:tcW w:w="150" w:type="pct"/>
            <w:hideMark/>
          </w:tcPr>
          <w:p w:rsidR="00F31B10" w:rsidRPr="00F31B10" w:rsidRDefault="00F31B10" w:rsidP="00F31B10">
            <w:pPr>
              <w:spacing w:after="0" w:line="336" w:lineRule="auto"/>
              <w:jc w:val="right"/>
              <w:rPr>
                <w:rFonts w:ascii="Arial" w:eastAsia="Times New Roman" w:hAnsi="Arial" w:cs="Arial"/>
                <w:color w:val="5A5B5B"/>
                <w:sz w:val="18"/>
                <w:szCs w:val="18"/>
              </w:rPr>
            </w:pPr>
          </w:p>
        </w:tc>
        <w:tc>
          <w:tcPr>
            <w:tcW w:w="0" w:type="auto"/>
            <w:hideMark/>
          </w:tcPr>
          <w:p w:rsidR="00F31B10" w:rsidRPr="00F32235" w:rsidRDefault="00F31B10" w:rsidP="00F32235">
            <w:pPr>
              <w:pStyle w:val="ListParagraph"/>
              <w:numPr>
                <w:ilvl w:val="0"/>
                <w:numId w:val="2"/>
              </w:numPr>
              <w:spacing w:after="0" w:line="336" w:lineRule="auto"/>
              <w:rPr>
                <w:rFonts w:ascii="Arial" w:eastAsia="Times New Roman" w:hAnsi="Arial" w:cs="Arial"/>
                <w:color w:val="5A5B5B"/>
                <w:sz w:val="24"/>
                <w:szCs w:val="24"/>
              </w:rPr>
            </w:pPr>
            <w:r w:rsidRPr="00F32235">
              <w:rPr>
                <w:rFonts w:ascii="Arial" w:eastAsia="Times New Roman" w:hAnsi="Arial" w:cs="Arial"/>
                <w:color w:val="5A5B5B"/>
                <w:sz w:val="24"/>
                <w:szCs w:val="24"/>
              </w:rPr>
              <w:t xml:space="preserve">It must be born in mind, when working with young people in this age group who are sexually active, that </w:t>
            </w:r>
            <w:r w:rsidRPr="00F32235">
              <w:rPr>
                <w:rFonts w:ascii="Arial" w:eastAsia="Times New Roman" w:hAnsi="Arial" w:cs="Arial"/>
                <w:b/>
                <w:bCs/>
                <w:color w:val="666666"/>
                <w:sz w:val="24"/>
                <w:szCs w:val="24"/>
              </w:rPr>
              <w:t>under the Sexual Offences Act 2003 they are considered to be of insufficient age to give consent to sexual activity</w:t>
            </w:r>
            <w:r w:rsidRPr="00F32235">
              <w:rPr>
                <w:rFonts w:ascii="Arial" w:eastAsia="Times New Roman" w:hAnsi="Arial" w:cs="Arial"/>
                <w:color w:val="5A5B5B"/>
                <w:sz w:val="24"/>
                <w:szCs w:val="24"/>
              </w:rPr>
              <w:t xml:space="preserve"> and therefore this is a potentially serious criminal offence. Their age means they are less able to make their own balanced decisions and they will therefore be more liable to abuse and coercion. </w:t>
            </w:r>
          </w:p>
        </w:tc>
      </w:tr>
      <w:tr w:rsidR="00F31B10" w:rsidRPr="00F31B10" w:rsidTr="00F31B10">
        <w:trPr>
          <w:tblCellSpacing w:w="0" w:type="dxa"/>
        </w:trPr>
        <w:tc>
          <w:tcPr>
            <w:tcW w:w="150" w:type="pct"/>
            <w:hideMark/>
          </w:tcPr>
          <w:p w:rsidR="00F31B10" w:rsidRPr="00F31B10" w:rsidRDefault="00F31B10" w:rsidP="00F31B10">
            <w:pPr>
              <w:spacing w:after="0" w:line="336" w:lineRule="auto"/>
              <w:jc w:val="right"/>
              <w:rPr>
                <w:rFonts w:ascii="Arial" w:eastAsia="Times New Roman" w:hAnsi="Arial" w:cs="Arial"/>
                <w:color w:val="5A5B5B"/>
                <w:sz w:val="18"/>
                <w:szCs w:val="18"/>
              </w:rPr>
            </w:pPr>
          </w:p>
        </w:tc>
        <w:tc>
          <w:tcPr>
            <w:tcW w:w="0" w:type="auto"/>
            <w:hideMark/>
          </w:tcPr>
          <w:p w:rsidR="00F31B10" w:rsidRPr="00F32235" w:rsidRDefault="00F32235" w:rsidP="00F32235">
            <w:pPr>
              <w:pStyle w:val="ListParagraph"/>
              <w:numPr>
                <w:ilvl w:val="0"/>
                <w:numId w:val="2"/>
              </w:numPr>
              <w:spacing w:after="0" w:line="336" w:lineRule="auto"/>
              <w:rPr>
                <w:rFonts w:ascii="Arial" w:eastAsia="Times New Roman" w:hAnsi="Arial" w:cs="Arial"/>
                <w:color w:val="5A5B5B"/>
                <w:sz w:val="24"/>
                <w:szCs w:val="24"/>
              </w:rPr>
            </w:pPr>
            <w:r>
              <w:rPr>
                <w:rFonts w:ascii="Arial" w:eastAsia="Times New Roman" w:hAnsi="Arial" w:cs="Arial"/>
                <w:b/>
                <w:bCs/>
                <w:color w:val="666666"/>
                <w:sz w:val="24"/>
                <w:szCs w:val="24"/>
              </w:rPr>
              <w:t xml:space="preserve">For Children`s Services to </w:t>
            </w:r>
            <w:r w:rsidR="00F31B10" w:rsidRPr="00F32235">
              <w:rPr>
                <w:rFonts w:ascii="Arial" w:eastAsia="Times New Roman" w:hAnsi="Arial" w:cs="Arial"/>
                <w:b/>
                <w:bCs/>
                <w:color w:val="666666"/>
                <w:sz w:val="24"/>
                <w:szCs w:val="24"/>
              </w:rPr>
              <w:t>assess</w:t>
            </w:r>
            <w:r>
              <w:rPr>
                <w:rFonts w:ascii="Arial" w:eastAsia="Times New Roman" w:hAnsi="Arial" w:cs="Arial"/>
                <w:b/>
                <w:bCs/>
                <w:color w:val="666666"/>
                <w:sz w:val="24"/>
                <w:szCs w:val="24"/>
              </w:rPr>
              <w:t xml:space="preserve"> </w:t>
            </w:r>
            <w:r w:rsidR="00F31B10" w:rsidRPr="00F32235">
              <w:rPr>
                <w:rFonts w:ascii="Arial" w:eastAsia="Times New Roman" w:hAnsi="Arial" w:cs="Arial"/>
                <w:b/>
                <w:bCs/>
                <w:color w:val="666666"/>
                <w:sz w:val="24"/>
                <w:szCs w:val="24"/>
              </w:rPr>
              <w:t xml:space="preserve">whether these young people are victims </w:t>
            </w:r>
            <w:r>
              <w:rPr>
                <w:rFonts w:ascii="Arial" w:eastAsia="Times New Roman" w:hAnsi="Arial" w:cs="Arial"/>
                <w:b/>
                <w:bCs/>
                <w:color w:val="666666"/>
                <w:sz w:val="24"/>
                <w:szCs w:val="24"/>
              </w:rPr>
              <w:t>of abuse, it</w:t>
            </w:r>
            <w:r w:rsidR="00F31B10" w:rsidRPr="00F32235">
              <w:rPr>
                <w:rFonts w:ascii="Arial" w:eastAsia="Times New Roman" w:hAnsi="Arial" w:cs="Arial"/>
                <w:b/>
                <w:bCs/>
                <w:color w:val="666666"/>
                <w:sz w:val="24"/>
                <w:szCs w:val="24"/>
              </w:rPr>
              <w:t xml:space="preserve"> will be necessary to share information with other safeguarding agencies</w:t>
            </w:r>
            <w:r w:rsidR="00F31B10" w:rsidRPr="00F32235">
              <w:rPr>
                <w:rFonts w:ascii="Arial" w:eastAsia="Times New Roman" w:hAnsi="Arial" w:cs="Arial"/>
                <w:color w:val="5A5B5B"/>
                <w:sz w:val="24"/>
                <w:szCs w:val="24"/>
              </w:rPr>
              <w:t xml:space="preserve">. </w:t>
            </w:r>
          </w:p>
        </w:tc>
      </w:tr>
      <w:tr w:rsidR="00F31B10" w:rsidRPr="00F31B10" w:rsidTr="00F31B10">
        <w:trPr>
          <w:tblCellSpacing w:w="0" w:type="dxa"/>
        </w:trPr>
        <w:tc>
          <w:tcPr>
            <w:tcW w:w="150" w:type="pct"/>
            <w:hideMark/>
          </w:tcPr>
          <w:p w:rsidR="00F31B10" w:rsidRPr="00F31B10" w:rsidRDefault="00F31B10" w:rsidP="00F31B10">
            <w:pPr>
              <w:spacing w:after="0" w:line="336" w:lineRule="auto"/>
              <w:jc w:val="right"/>
              <w:rPr>
                <w:rFonts w:ascii="Arial" w:eastAsia="Times New Roman" w:hAnsi="Arial" w:cs="Arial"/>
                <w:color w:val="5A5B5B"/>
                <w:sz w:val="18"/>
                <w:szCs w:val="18"/>
              </w:rPr>
            </w:pPr>
          </w:p>
        </w:tc>
        <w:tc>
          <w:tcPr>
            <w:tcW w:w="0" w:type="auto"/>
            <w:hideMark/>
          </w:tcPr>
          <w:p w:rsidR="00F31B10" w:rsidRPr="00F32235" w:rsidRDefault="00F31B10" w:rsidP="00F32235">
            <w:pPr>
              <w:pStyle w:val="ListParagraph"/>
              <w:numPr>
                <w:ilvl w:val="0"/>
                <w:numId w:val="2"/>
              </w:numPr>
              <w:spacing w:after="0" w:line="336" w:lineRule="auto"/>
              <w:rPr>
                <w:rFonts w:ascii="Arial" w:eastAsia="Times New Roman" w:hAnsi="Arial" w:cs="Arial"/>
                <w:color w:val="5A5B5B"/>
                <w:sz w:val="24"/>
                <w:szCs w:val="24"/>
              </w:rPr>
            </w:pPr>
            <w:r w:rsidRPr="00F32235">
              <w:rPr>
                <w:rFonts w:ascii="Arial" w:eastAsia="Times New Roman" w:hAnsi="Arial" w:cs="Arial"/>
                <w:b/>
                <w:bCs/>
                <w:color w:val="666666"/>
                <w:sz w:val="24"/>
                <w:szCs w:val="24"/>
              </w:rPr>
              <w:t xml:space="preserve">In all cases where </w:t>
            </w:r>
            <w:r w:rsidR="00F32235">
              <w:rPr>
                <w:rFonts w:ascii="Arial" w:eastAsia="Times New Roman" w:hAnsi="Arial" w:cs="Arial"/>
                <w:b/>
                <w:bCs/>
                <w:color w:val="666666"/>
                <w:sz w:val="24"/>
                <w:szCs w:val="24"/>
              </w:rPr>
              <w:t>you</w:t>
            </w:r>
            <w:r w:rsidRPr="00F32235">
              <w:rPr>
                <w:rFonts w:ascii="Arial" w:eastAsia="Times New Roman" w:hAnsi="Arial" w:cs="Arial"/>
                <w:b/>
                <w:bCs/>
                <w:color w:val="666666"/>
                <w:sz w:val="24"/>
                <w:szCs w:val="24"/>
              </w:rPr>
              <w:t xml:space="preserve"> become aware of young people under the age of 13 who are engaged in sexual activity, there is a PRESUMPTION that Children’s S</w:t>
            </w:r>
            <w:r w:rsidR="00F32235">
              <w:rPr>
                <w:rFonts w:ascii="Arial" w:eastAsia="Times New Roman" w:hAnsi="Arial" w:cs="Arial"/>
                <w:b/>
                <w:bCs/>
                <w:color w:val="666666"/>
                <w:sz w:val="24"/>
                <w:szCs w:val="24"/>
              </w:rPr>
              <w:t xml:space="preserve">ervices will </w:t>
            </w:r>
            <w:r w:rsidRPr="00F32235">
              <w:rPr>
                <w:rFonts w:ascii="Arial" w:eastAsia="Times New Roman" w:hAnsi="Arial" w:cs="Arial"/>
                <w:b/>
                <w:bCs/>
                <w:color w:val="666666"/>
                <w:sz w:val="24"/>
                <w:szCs w:val="24"/>
              </w:rPr>
              <w:t>be informed</w:t>
            </w:r>
            <w:r w:rsidRPr="00F32235">
              <w:rPr>
                <w:rFonts w:ascii="Arial" w:eastAsia="Times New Roman" w:hAnsi="Arial" w:cs="Arial"/>
                <w:color w:val="5A5B5B"/>
                <w:sz w:val="24"/>
                <w:szCs w:val="24"/>
              </w:rPr>
              <w:t xml:space="preserve">. </w:t>
            </w:r>
            <w:r w:rsidR="00F32235">
              <w:rPr>
                <w:rFonts w:ascii="Arial" w:eastAsia="Times New Roman" w:hAnsi="Arial" w:cs="Arial"/>
                <w:color w:val="5A5B5B"/>
                <w:sz w:val="24"/>
                <w:szCs w:val="24"/>
              </w:rPr>
              <w:t>A detailed discussion with our S</w:t>
            </w:r>
            <w:r w:rsidRPr="00F32235">
              <w:rPr>
                <w:rFonts w:ascii="Arial" w:eastAsia="Times New Roman" w:hAnsi="Arial" w:cs="Arial"/>
                <w:color w:val="5A5B5B"/>
                <w:sz w:val="24"/>
                <w:szCs w:val="24"/>
              </w:rPr>
              <w:t>afeguarding</w:t>
            </w:r>
            <w:r w:rsidR="00F32235">
              <w:rPr>
                <w:rFonts w:ascii="Arial" w:eastAsia="Times New Roman" w:hAnsi="Arial" w:cs="Arial"/>
                <w:color w:val="5A5B5B"/>
                <w:sz w:val="24"/>
                <w:szCs w:val="24"/>
              </w:rPr>
              <w:t xml:space="preserve"> Children Advisor will take place and a decision reached and recorded, but in almost all cases</w:t>
            </w:r>
            <w:r w:rsidRPr="00F32235">
              <w:rPr>
                <w:rFonts w:ascii="Arial" w:eastAsia="Times New Roman" w:hAnsi="Arial" w:cs="Arial"/>
                <w:color w:val="5A5B5B"/>
                <w:sz w:val="24"/>
                <w:szCs w:val="24"/>
              </w:rPr>
              <w:t xml:space="preserve"> a child protection referral will be made to Children’s S</w:t>
            </w:r>
            <w:r w:rsidR="00F32235">
              <w:rPr>
                <w:rFonts w:ascii="Arial" w:eastAsia="Times New Roman" w:hAnsi="Arial" w:cs="Arial"/>
                <w:color w:val="5A5B5B"/>
                <w:sz w:val="24"/>
                <w:szCs w:val="24"/>
              </w:rPr>
              <w:t>ervices</w:t>
            </w:r>
            <w:r w:rsidRPr="00F32235">
              <w:rPr>
                <w:rFonts w:ascii="Arial" w:eastAsia="Times New Roman" w:hAnsi="Arial" w:cs="Arial"/>
                <w:color w:val="5A5B5B"/>
                <w:sz w:val="24"/>
                <w:szCs w:val="24"/>
              </w:rPr>
              <w:t>, who will follow the normal child protection procedures</w:t>
            </w:r>
            <w:r w:rsidR="00F32235">
              <w:rPr>
                <w:rFonts w:ascii="Arial" w:eastAsia="Times New Roman" w:hAnsi="Arial" w:cs="Arial"/>
                <w:color w:val="5A5B5B"/>
                <w:sz w:val="24"/>
                <w:szCs w:val="24"/>
              </w:rPr>
              <w:t>.</w:t>
            </w:r>
          </w:p>
        </w:tc>
      </w:tr>
      <w:tr w:rsidR="00F31B10" w:rsidRPr="00F31B10" w:rsidTr="00F31B10">
        <w:trPr>
          <w:tblCellSpacing w:w="0" w:type="dxa"/>
        </w:trPr>
        <w:tc>
          <w:tcPr>
            <w:tcW w:w="150" w:type="pct"/>
            <w:hideMark/>
          </w:tcPr>
          <w:p w:rsidR="00F31B10" w:rsidRPr="00F31B10" w:rsidRDefault="00F31B10" w:rsidP="00F31B10">
            <w:pPr>
              <w:spacing w:after="0" w:line="336" w:lineRule="auto"/>
              <w:jc w:val="right"/>
              <w:rPr>
                <w:rFonts w:ascii="Arial" w:eastAsia="Times New Roman" w:hAnsi="Arial" w:cs="Arial"/>
                <w:color w:val="5A5B5B"/>
                <w:sz w:val="18"/>
                <w:szCs w:val="18"/>
              </w:rPr>
            </w:pPr>
          </w:p>
        </w:tc>
        <w:tc>
          <w:tcPr>
            <w:tcW w:w="0" w:type="auto"/>
            <w:hideMark/>
          </w:tcPr>
          <w:p w:rsidR="00F31B10" w:rsidRPr="00F32235" w:rsidRDefault="00F31B10" w:rsidP="00F32235">
            <w:pPr>
              <w:pStyle w:val="ListParagraph"/>
              <w:numPr>
                <w:ilvl w:val="0"/>
                <w:numId w:val="2"/>
              </w:numPr>
              <w:spacing w:after="0" w:line="336" w:lineRule="auto"/>
              <w:rPr>
                <w:rFonts w:ascii="Arial" w:eastAsia="Times New Roman" w:hAnsi="Arial" w:cs="Arial"/>
                <w:color w:val="5A5B5B"/>
                <w:sz w:val="24"/>
                <w:szCs w:val="24"/>
              </w:rPr>
            </w:pPr>
            <w:r w:rsidRPr="00F32235">
              <w:rPr>
                <w:rFonts w:ascii="Arial" w:eastAsia="Times New Roman" w:hAnsi="Arial" w:cs="Arial"/>
                <w:color w:val="5A5B5B"/>
                <w:sz w:val="24"/>
                <w:szCs w:val="24"/>
              </w:rPr>
              <w:t xml:space="preserve">Where there is a </w:t>
            </w:r>
            <w:r w:rsidRPr="00F32235">
              <w:rPr>
                <w:rFonts w:ascii="Arial" w:eastAsia="Times New Roman" w:hAnsi="Arial" w:cs="Arial"/>
                <w:b/>
                <w:bCs/>
                <w:color w:val="666666"/>
                <w:sz w:val="24"/>
                <w:szCs w:val="24"/>
              </w:rPr>
              <w:t>risk of immediate harm</w:t>
            </w:r>
            <w:r w:rsidRPr="00F32235">
              <w:rPr>
                <w:rFonts w:ascii="Arial" w:eastAsia="Times New Roman" w:hAnsi="Arial" w:cs="Arial"/>
                <w:color w:val="5A5B5B"/>
                <w:sz w:val="24"/>
                <w:szCs w:val="24"/>
              </w:rPr>
              <w:t xml:space="preserve"> to a young person the police should be informed with a view to assessing the need for immediate protective action. </w:t>
            </w:r>
          </w:p>
        </w:tc>
      </w:tr>
      <w:tr w:rsidR="00F31B10" w:rsidRPr="00F31B10" w:rsidTr="00F31B10">
        <w:trPr>
          <w:tblCellSpacing w:w="0" w:type="dxa"/>
        </w:trPr>
        <w:tc>
          <w:tcPr>
            <w:tcW w:w="150" w:type="pct"/>
            <w:hideMark/>
          </w:tcPr>
          <w:p w:rsidR="00F31B10" w:rsidRPr="00F31B10" w:rsidRDefault="00F31B10" w:rsidP="00F31B10">
            <w:pPr>
              <w:spacing w:after="0" w:line="336" w:lineRule="auto"/>
              <w:jc w:val="right"/>
              <w:rPr>
                <w:rFonts w:ascii="Arial" w:eastAsia="Times New Roman" w:hAnsi="Arial" w:cs="Arial"/>
                <w:color w:val="5A5B5B"/>
                <w:sz w:val="18"/>
                <w:szCs w:val="18"/>
              </w:rPr>
            </w:pPr>
          </w:p>
        </w:tc>
        <w:tc>
          <w:tcPr>
            <w:tcW w:w="0" w:type="auto"/>
            <w:hideMark/>
          </w:tcPr>
          <w:p w:rsidR="00F31B10" w:rsidRPr="00F32235" w:rsidRDefault="00F32235" w:rsidP="00F32235">
            <w:pPr>
              <w:pStyle w:val="ListParagraph"/>
              <w:numPr>
                <w:ilvl w:val="0"/>
                <w:numId w:val="2"/>
              </w:numPr>
              <w:spacing w:after="0" w:line="336" w:lineRule="auto"/>
              <w:rPr>
                <w:rFonts w:ascii="Arial" w:eastAsia="Times New Roman" w:hAnsi="Arial" w:cs="Arial"/>
                <w:color w:val="5A5B5B"/>
                <w:sz w:val="24"/>
                <w:szCs w:val="24"/>
              </w:rPr>
            </w:pPr>
            <w:r>
              <w:rPr>
                <w:rFonts w:ascii="Arial" w:eastAsia="Times New Roman" w:hAnsi="Arial" w:cs="Arial"/>
                <w:color w:val="5A5B5B"/>
                <w:sz w:val="24"/>
                <w:szCs w:val="24"/>
              </w:rPr>
              <w:t>Following a referral to Children`s Services a</w:t>
            </w:r>
            <w:r w:rsidR="00F31B10" w:rsidRPr="00F32235">
              <w:rPr>
                <w:rFonts w:ascii="Arial" w:eastAsia="Times New Roman" w:hAnsi="Arial" w:cs="Arial"/>
                <w:color w:val="5A5B5B"/>
                <w:sz w:val="24"/>
                <w:szCs w:val="24"/>
              </w:rPr>
              <w:t xml:space="preserve"> Strategy Discussion </w:t>
            </w:r>
            <w:r>
              <w:rPr>
                <w:rFonts w:ascii="Arial" w:eastAsia="Times New Roman" w:hAnsi="Arial" w:cs="Arial"/>
                <w:color w:val="5A5B5B"/>
                <w:sz w:val="24"/>
                <w:szCs w:val="24"/>
              </w:rPr>
              <w:t>take place, as with referrals for younger children,  and this discussion may indicate</w:t>
            </w:r>
            <w:r w:rsidR="00F31B10" w:rsidRPr="00F32235">
              <w:rPr>
                <w:rFonts w:ascii="Arial" w:eastAsia="Times New Roman" w:hAnsi="Arial" w:cs="Arial"/>
                <w:color w:val="5A5B5B"/>
                <w:sz w:val="24"/>
                <w:szCs w:val="24"/>
              </w:rPr>
              <w:t xml:space="preserve"> concerns about either party in the relationship or their families. It will help to build a fuller picture and may identify particular concerns which one agency alone would not be able to do. It will also ensure that this incident is recorded and available for reference should there be any future concerns regarding one of the parties. Future child protection concerns may go undetected without this sharing of information.</w:t>
            </w:r>
          </w:p>
        </w:tc>
      </w:tr>
      <w:tr w:rsidR="00F31B10" w:rsidRPr="00F31B10" w:rsidTr="00F31B10">
        <w:trPr>
          <w:tblCellSpacing w:w="0" w:type="dxa"/>
        </w:trPr>
        <w:tc>
          <w:tcPr>
            <w:tcW w:w="150" w:type="pct"/>
            <w:hideMark/>
          </w:tcPr>
          <w:p w:rsidR="00F31B10" w:rsidRPr="00F31B10" w:rsidRDefault="00F31B10" w:rsidP="00F31B10">
            <w:pPr>
              <w:spacing w:after="0" w:line="336" w:lineRule="auto"/>
              <w:jc w:val="right"/>
              <w:rPr>
                <w:rFonts w:ascii="Arial" w:eastAsia="Times New Roman" w:hAnsi="Arial" w:cs="Arial"/>
                <w:color w:val="5A5B5B"/>
                <w:sz w:val="18"/>
                <w:szCs w:val="18"/>
              </w:rPr>
            </w:pPr>
          </w:p>
        </w:tc>
        <w:tc>
          <w:tcPr>
            <w:tcW w:w="0" w:type="auto"/>
            <w:hideMark/>
          </w:tcPr>
          <w:p w:rsidR="00F31B10" w:rsidRPr="00F32235" w:rsidRDefault="00F31B10" w:rsidP="00F32235">
            <w:pPr>
              <w:pStyle w:val="ListParagraph"/>
              <w:numPr>
                <w:ilvl w:val="0"/>
                <w:numId w:val="2"/>
              </w:numPr>
              <w:spacing w:after="0" w:line="336" w:lineRule="auto"/>
              <w:rPr>
                <w:rFonts w:ascii="Arial" w:eastAsia="Times New Roman" w:hAnsi="Arial" w:cs="Arial"/>
                <w:color w:val="5A5B5B"/>
                <w:sz w:val="24"/>
                <w:szCs w:val="24"/>
              </w:rPr>
            </w:pPr>
            <w:r w:rsidRPr="00F32235">
              <w:rPr>
                <w:rFonts w:ascii="Arial" w:eastAsia="Times New Roman" w:hAnsi="Arial" w:cs="Arial"/>
                <w:color w:val="5A5B5B"/>
                <w:sz w:val="24"/>
                <w:szCs w:val="24"/>
              </w:rPr>
              <w:t xml:space="preserve">Following the strategy discussion if the concerns of significant harm are upheld, then the child protection procedures, with a </w:t>
            </w:r>
            <w:hyperlink r:id="rId5" w:tgtFrame="_blank" w:history="1">
              <w:r w:rsidRPr="00F32235">
                <w:rPr>
                  <w:rFonts w:ascii="Arial" w:eastAsia="Times New Roman" w:hAnsi="Arial" w:cs="Arial"/>
                  <w:b/>
                  <w:bCs/>
                  <w:color w:val="009294"/>
                  <w:sz w:val="24"/>
                  <w:szCs w:val="24"/>
                </w:rPr>
                <w:t>Section 47 Enquiry</w:t>
              </w:r>
            </w:hyperlink>
            <w:r w:rsidRPr="00F32235">
              <w:rPr>
                <w:rFonts w:ascii="Arial" w:eastAsia="Times New Roman" w:hAnsi="Arial" w:cs="Arial"/>
                <w:color w:val="5A5B5B"/>
                <w:sz w:val="24"/>
                <w:szCs w:val="24"/>
              </w:rPr>
              <w:t>, will be followed.</w:t>
            </w:r>
          </w:p>
        </w:tc>
      </w:tr>
      <w:tr w:rsidR="00F31B10" w:rsidRPr="00F31B10" w:rsidTr="00F31B10">
        <w:trPr>
          <w:tblCellSpacing w:w="0" w:type="dxa"/>
        </w:trPr>
        <w:tc>
          <w:tcPr>
            <w:tcW w:w="150" w:type="pct"/>
            <w:hideMark/>
          </w:tcPr>
          <w:p w:rsidR="00F31B10" w:rsidRPr="00F31B10" w:rsidRDefault="00F31B10" w:rsidP="00F31B10">
            <w:pPr>
              <w:spacing w:after="0" w:line="336" w:lineRule="auto"/>
              <w:jc w:val="right"/>
              <w:rPr>
                <w:rFonts w:ascii="Arial" w:eastAsia="Times New Roman" w:hAnsi="Arial" w:cs="Arial"/>
                <w:color w:val="5A5B5B"/>
                <w:sz w:val="18"/>
                <w:szCs w:val="18"/>
              </w:rPr>
            </w:pPr>
          </w:p>
        </w:tc>
        <w:tc>
          <w:tcPr>
            <w:tcW w:w="0" w:type="auto"/>
            <w:hideMark/>
          </w:tcPr>
          <w:p w:rsidR="00F31B10" w:rsidRPr="00F32235" w:rsidRDefault="00F31B10" w:rsidP="00F32235">
            <w:pPr>
              <w:pStyle w:val="ListParagraph"/>
              <w:numPr>
                <w:ilvl w:val="0"/>
                <w:numId w:val="2"/>
              </w:numPr>
              <w:spacing w:after="0" w:line="336" w:lineRule="auto"/>
              <w:rPr>
                <w:rFonts w:ascii="Arial" w:eastAsia="Times New Roman" w:hAnsi="Arial" w:cs="Arial"/>
                <w:color w:val="5A5B5B"/>
                <w:sz w:val="24"/>
                <w:szCs w:val="24"/>
              </w:rPr>
            </w:pPr>
            <w:r w:rsidRPr="00F32235">
              <w:rPr>
                <w:rFonts w:ascii="Arial" w:eastAsia="Times New Roman" w:hAnsi="Arial" w:cs="Arial"/>
                <w:color w:val="5A5B5B"/>
                <w:sz w:val="24"/>
                <w:szCs w:val="24"/>
              </w:rPr>
              <w:t xml:space="preserve">If the strategy meeting concludes that both </w:t>
            </w:r>
            <w:r w:rsidR="00F32235">
              <w:rPr>
                <w:rFonts w:ascii="Arial" w:eastAsia="Times New Roman" w:hAnsi="Arial" w:cs="Arial"/>
                <w:color w:val="5A5B5B"/>
                <w:sz w:val="24"/>
                <w:szCs w:val="24"/>
              </w:rPr>
              <w:t>p</w:t>
            </w:r>
            <w:r w:rsidRPr="00F32235">
              <w:rPr>
                <w:rFonts w:ascii="Arial" w:eastAsia="Times New Roman" w:hAnsi="Arial" w:cs="Arial"/>
                <w:color w:val="5A5B5B"/>
                <w:sz w:val="24"/>
                <w:szCs w:val="24"/>
              </w:rPr>
              <w:t xml:space="preserve">eople are not at risk of </w:t>
            </w:r>
            <w:hyperlink r:id="rId6" w:tgtFrame="_blank" w:history="1">
              <w:r w:rsidRPr="00F32235">
                <w:rPr>
                  <w:rFonts w:ascii="Arial" w:eastAsia="Times New Roman" w:hAnsi="Arial" w:cs="Arial"/>
                  <w:b/>
                  <w:bCs/>
                  <w:color w:val="009294"/>
                  <w:sz w:val="24"/>
                  <w:szCs w:val="24"/>
                </w:rPr>
                <w:t>Significant Harm</w:t>
              </w:r>
            </w:hyperlink>
            <w:r w:rsidRPr="00F32235">
              <w:rPr>
                <w:rFonts w:ascii="Arial" w:eastAsia="Times New Roman" w:hAnsi="Arial" w:cs="Arial"/>
                <w:color w:val="5A5B5B"/>
                <w:sz w:val="24"/>
                <w:szCs w:val="24"/>
              </w:rPr>
              <w:t xml:space="preserve">, it will not be necessary to carry out child protection procedures.  </w:t>
            </w:r>
            <w:r w:rsidRPr="00F32235">
              <w:rPr>
                <w:rFonts w:ascii="Arial" w:eastAsia="Times New Roman" w:hAnsi="Arial" w:cs="Arial"/>
                <w:color w:val="FF0000"/>
                <w:sz w:val="24"/>
                <w:szCs w:val="24"/>
              </w:rPr>
              <w:t>However, there may be safeguarding issues as children of</w:t>
            </w:r>
            <w:r w:rsidRPr="00F32235">
              <w:rPr>
                <w:rFonts w:ascii="Arial" w:eastAsia="Times New Roman" w:hAnsi="Arial" w:cs="Arial"/>
                <w:color w:val="5A5B5B"/>
                <w:sz w:val="24"/>
                <w:szCs w:val="24"/>
              </w:rPr>
              <w:t xml:space="preserve"> </w:t>
            </w:r>
            <w:r w:rsidRPr="00F32235">
              <w:rPr>
                <w:rFonts w:ascii="Arial" w:eastAsia="Times New Roman" w:hAnsi="Arial" w:cs="Arial"/>
                <w:color w:val="FF0000"/>
                <w:sz w:val="24"/>
                <w:szCs w:val="24"/>
              </w:rPr>
              <w:t>this age can be very vulnerable and it is important to promote their</w:t>
            </w:r>
            <w:r w:rsidRPr="00F32235">
              <w:rPr>
                <w:rFonts w:ascii="Arial" w:eastAsia="Times New Roman" w:hAnsi="Arial" w:cs="Arial"/>
                <w:color w:val="5A5B5B"/>
                <w:sz w:val="24"/>
                <w:szCs w:val="24"/>
              </w:rPr>
              <w:t xml:space="preserve"> </w:t>
            </w:r>
            <w:r w:rsidRPr="00F32235">
              <w:rPr>
                <w:rFonts w:ascii="Arial" w:eastAsia="Times New Roman" w:hAnsi="Arial" w:cs="Arial"/>
                <w:color w:val="FF0000"/>
                <w:sz w:val="24"/>
                <w:szCs w:val="24"/>
              </w:rPr>
              <w:t>welfare</w:t>
            </w:r>
            <w:r w:rsidRPr="00F32235">
              <w:rPr>
                <w:rFonts w:ascii="Arial" w:eastAsia="Times New Roman" w:hAnsi="Arial" w:cs="Arial"/>
                <w:color w:val="5A5B5B"/>
                <w:sz w:val="24"/>
                <w:szCs w:val="24"/>
              </w:rPr>
              <w:t>. A child in need referral to Children’s Social Care for further assessment may be appropriate and/or signposting to the Sexual Health Service.</w:t>
            </w:r>
          </w:p>
        </w:tc>
      </w:tr>
      <w:tr w:rsidR="00F31B10" w:rsidRPr="00F31B10" w:rsidTr="00F31B10">
        <w:trPr>
          <w:tblCellSpacing w:w="0" w:type="dxa"/>
        </w:trPr>
        <w:tc>
          <w:tcPr>
            <w:tcW w:w="150" w:type="pct"/>
            <w:hideMark/>
          </w:tcPr>
          <w:p w:rsidR="00F31B10" w:rsidRPr="00F31B10" w:rsidRDefault="00F31B10" w:rsidP="00F31B10">
            <w:pPr>
              <w:spacing w:after="0" w:line="336" w:lineRule="auto"/>
              <w:jc w:val="right"/>
              <w:rPr>
                <w:rFonts w:ascii="Arial" w:eastAsia="Times New Roman" w:hAnsi="Arial" w:cs="Arial"/>
                <w:color w:val="5A5B5B"/>
                <w:sz w:val="18"/>
                <w:szCs w:val="18"/>
              </w:rPr>
            </w:pPr>
          </w:p>
        </w:tc>
        <w:tc>
          <w:tcPr>
            <w:tcW w:w="0" w:type="auto"/>
            <w:hideMark/>
          </w:tcPr>
          <w:p w:rsidR="00F31B10" w:rsidRPr="00EC7C43" w:rsidRDefault="00F31B10" w:rsidP="00F31B10">
            <w:pPr>
              <w:spacing w:after="0" w:line="336" w:lineRule="auto"/>
              <w:rPr>
                <w:rFonts w:ascii="Arial" w:eastAsia="Times New Roman" w:hAnsi="Arial" w:cs="Arial"/>
                <w:color w:val="5A5B5B"/>
                <w:sz w:val="24"/>
                <w:szCs w:val="24"/>
              </w:rPr>
            </w:pPr>
          </w:p>
        </w:tc>
      </w:tr>
      <w:tr w:rsidR="00F31B10" w:rsidRPr="00F31B10" w:rsidTr="00F31B10">
        <w:trPr>
          <w:tblCellSpacing w:w="0" w:type="dxa"/>
        </w:trPr>
        <w:tc>
          <w:tcPr>
            <w:tcW w:w="150" w:type="pct"/>
            <w:hideMark/>
          </w:tcPr>
          <w:p w:rsidR="00F31B10" w:rsidRPr="00F31B10" w:rsidRDefault="00F31B10" w:rsidP="00F31B10">
            <w:pPr>
              <w:spacing w:after="0" w:line="336" w:lineRule="auto"/>
              <w:jc w:val="right"/>
              <w:rPr>
                <w:rFonts w:ascii="Arial" w:eastAsia="Times New Roman" w:hAnsi="Arial" w:cs="Arial"/>
                <w:color w:val="5A5B5B"/>
                <w:sz w:val="18"/>
                <w:szCs w:val="18"/>
              </w:rPr>
            </w:pPr>
          </w:p>
        </w:tc>
        <w:tc>
          <w:tcPr>
            <w:tcW w:w="0" w:type="auto"/>
            <w:hideMark/>
          </w:tcPr>
          <w:p w:rsidR="00F31B10" w:rsidRPr="00EC7C43" w:rsidRDefault="00F31B10" w:rsidP="00F31B10">
            <w:pPr>
              <w:spacing w:after="0" w:line="336" w:lineRule="auto"/>
              <w:rPr>
                <w:rFonts w:ascii="Arial" w:eastAsia="Times New Roman" w:hAnsi="Arial" w:cs="Arial"/>
                <w:color w:val="5A5B5B"/>
                <w:sz w:val="24"/>
                <w:szCs w:val="24"/>
              </w:rPr>
            </w:pPr>
          </w:p>
        </w:tc>
      </w:tr>
    </w:tbl>
    <w:p w:rsidR="00F31B10" w:rsidRPr="00B970C8" w:rsidRDefault="00EC7C43" w:rsidP="00F31B10">
      <w:pPr>
        <w:pBdr>
          <w:bottom w:val="single" w:sz="8" w:space="0" w:color="009294"/>
        </w:pBdr>
        <w:shd w:val="clear" w:color="auto" w:fill="FFFFFF"/>
        <w:spacing w:before="100" w:beforeAutospacing="1" w:after="100" w:afterAutospacing="1" w:line="336" w:lineRule="auto"/>
        <w:outlineLvl w:val="1"/>
        <w:rPr>
          <w:rFonts w:ascii="Arial" w:eastAsia="Times New Roman" w:hAnsi="Arial" w:cs="Arial"/>
          <w:b/>
          <w:bCs/>
          <w:color w:val="50575B"/>
          <w:sz w:val="24"/>
          <w:szCs w:val="24"/>
          <w:lang w:val="en-GB"/>
        </w:rPr>
      </w:pPr>
      <w:r w:rsidRPr="00B970C8">
        <w:rPr>
          <w:rFonts w:ascii="Arial" w:eastAsia="Times New Roman" w:hAnsi="Arial" w:cs="Arial"/>
          <w:b/>
          <w:bCs/>
          <w:color w:val="50575B"/>
          <w:sz w:val="24"/>
          <w:szCs w:val="24"/>
          <w:lang w:val="en-GB"/>
        </w:rPr>
        <w:t>Children aged 13-15 years old</w:t>
      </w:r>
      <w:bookmarkStart w:id="1" w:name="_13_15yr"/>
      <w:bookmarkEnd w:id="1"/>
    </w:p>
    <w:tbl>
      <w:tblPr>
        <w:tblW w:w="4750" w:type="pct"/>
        <w:tblCellSpacing w:w="0" w:type="dxa"/>
        <w:tblCellMar>
          <w:top w:w="75" w:type="dxa"/>
          <w:left w:w="75" w:type="dxa"/>
          <w:bottom w:w="75" w:type="dxa"/>
          <w:right w:w="75" w:type="dxa"/>
        </w:tblCellMar>
        <w:tblLook w:val="04A0"/>
      </w:tblPr>
      <w:tblGrid>
        <w:gridCol w:w="271"/>
        <w:gridCol w:w="8764"/>
      </w:tblGrid>
      <w:tr w:rsidR="00F31B10" w:rsidRPr="00B970C8" w:rsidTr="00F31B10">
        <w:trPr>
          <w:tblCellSpacing w:w="0" w:type="dxa"/>
        </w:trPr>
        <w:tc>
          <w:tcPr>
            <w:tcW w:w="150" w:type="pct"/>
            <w:hideMark/>
          </w:tcPr>
          <w:p w:rsidR="00F31B10" w:rsidRPr="00B970C8" w:rsidRDefault="00F31B10" w:rsidP="00B970C8">
            <w:pPr>
              <w:pStyle w:val="ListParagraph"/>
              <w:numPr>
                <w:ilvl w:val="0"/>
                <w:numId w:val="3"/>
              </w:numPr>
              <w:spacing w:after="0" w:line="336" w:lineRule="auto"/>
              <w:jc w:val="right"/>
              <w:rPr>
                <w:rFonts w:ascii="Arial" w:eastAsia="Times New Roman" w:hAnsi="Arial" w:cs="Arial"/>
                <w:color w:val="5A5B5B"/>
                <w:sz w:val="24"/>
                <w:szCs w:val="24"/>
              </w:rPr>
            </w:pPr>
          </w:p>
        </w:tc>
        <w:tc>
          <w:tcPr>
            <w:tcW w:w="0" w:type="auto"/>
            <w:hideMark/>
          </w:tcPr>
          <w:p w:rsidR="00B970C8" w:rsidRDefault="00F31B10" w:rsidP="00B970C8">
            <w:pPr>
              <w:pStyle w:val="ListParagraph"/>
              <w:numPr>
                <w:ilvl w:val="0"/>
                <w:numId w:val="3"/>
              </w:numPr>
              <w:spacing w:after="0" w:line="336" w:lineRule="auto"/>
              <w:rPr>
                <w:rFonts w:ascii="Arial" w:eastAsia="Times New Roman" w:hAnsi="Arial" w:cs="Arial"/>
                <w:color w:val="5A5B5B"/>
                <w:sz w:val="24"/>
                <w:szCs w:val="24"/>
              </w:rPr>
            </w:pPr>
            <w:r w:rsidRPr="00B970C8">
              <w:rPr>
                <w:rFonts w:ascii="Arial" w:eastAsia="Times New Roman" w:hAnsi="Arial" w:cs="Arial"/>
                <w:color w:val="5A5B5B"/>
                <w:sz w:val="24"/>
                <w:szCs w:val="24"/>
              </w:rPr>
              <w:t>Within this age range, there are relatively large numbers of young people engaged in sexual activity. In most cases it would prove an unproductive task to commence child protection enquiries</w:t>
            </w:r>
            <w:r w:rsidR="00B970C8">
              <w:rPr>
                <w:rFonts w:ascii="Arial" w:eastAsia="Times New Roman" w:hAnsi="Arial" w:cs="Arial"/>
                <w:color w:val="5A5B5B"/>
                <w:sz w:val="24"/>
                <w:szCs w:val="24"/>
              </w:rPr>
              <w:t>.</w:t>
            </w:r>
          </w:p>
          <w:p w:rsidR="00F31B10" w:rsidRDefault="00B970C8" w:rsidP="00B970C8">
            <w:pPr>
              <w:pStyle w:val="ListParagraph"/>
              <w:numPr>
                <w:ilvl w:val="0"/>
                <w:numId w:val="3"/>
              </w:numPr>
              <w:spacing w:after="0" w:line="336" w:lineRule="auto"/>
              <w:rPr>
                <w:rFonts w:ascii="Arial" w:eastAsia="Times New Roman" w:hAnsi="Arial" w:cs="Arial"/>
                <w:color w:val="5A5B5B"/>
                <w:sz w:val="24"/>
                <w:szCs w:val="24"/>
              </w:rPr>
            </w:pPr>
            <w:r>
              <w:rPr>
                <w:rFonts w:ascii="Arial" w:eastAsia="Times New Roman" w:hAnsi="Arial" w:cs="Arial"/>
                <w:color w:val="5A5B5B"/>
                <w:sz w:val="24"/>
                <w:szCs w:val="24"/>
              </w:rPr>
              <w:t>H</w:t>
            </w:r>
            <w:r w:rsidR="00F31B10" w:rsidRPr="00B970C8">
              <w:rPr>
                <w:rFonts w:ascii="Arial" w:eastAsia="Times New Roman" w:hAnsi="Arial" w:cs="Arial"/>
                <w:color w:val="5A5B5B"/>
                <w:sz w:val="24"/>
                <w:szCs w:val="24"/>
              </w:rPr>
              <w:t xml:space="preserve">owever, young people of this age can still be vulnerable and some of them may be in abusive relationships.  It is therefore important that </w:t>
            </w:r>
            <w:r>
              <w:rPr>
                <w:rFonts w:ascii="Arial" w:eastAsia="Times New Roman" w:hAnsi="Arial" w:cs="Arial"/>
                <w:color w:val="5A5B5B"/>
                <w:sz w:val="24"/>
                <w:szCs w:val="24"/>
              </w:rPr>
              <w:t xml:space="preserve">if volunteers or </w:t>
            </w:r>
            <w:proofErr w:type="gramStart"/>
            <w:r>
              <w:rPr>
                <w:rFonts w:ascii="Arial" w:eastAsia="Times New Roman" w:hAnsi="Arial" w:cs="Arial"/>
                <w:color w:val="5A5B5B"/>
                <w:sz w:val="24"/>
                <w:szCs w:val="24"/>
              </w:rPr>
              <w:t xml:space="preserve">staff </w:t>
            </w:r>
            <w:r w:rsidR="00F31B10" w:rsidRPr="00B970C8">
              <w:rPr>
                <w:rFonts w:ascii="Arial" w:eastAsia="Times New Roman" w:hAnsi="Arial" w:cs="Arial"/>
                <w:color w:val="5A5B5B"/>
                <w:sz w:val="24"/>
                <w:szCs w:val="24"/>
              </w:rPr>
              <w:t>become</w:t>
            </w:r>
            <w:proofErr w:type="gramEnd"/>
            <w:r w:rsidR="00F31B10" w:rsidRPr="00B970C8">
              <w:rPr>
                <w:rFonts w:ascii="Arial" w:eastAsia="Times New Roman" w:hAnsi="Arial" w:cs="Arial"/>
                <w:color w:val="5A5B5B"/>
                <w:sz w:val="24"/>
                <w:szCs w:val="24"/>
              </w:rPr>
              <w:t xml:space="preserve"> aware of young people in this age group in sexual relationships</w:t>
            </w:r>
            <w:r>
              <w:rPr>
                <w:rFonts w:ascii="Arial" w:eastAsia="Times New Roman" w:hAnsi="Arial" w:cs="Arial"/>
                <w:color w:val="5A5B5B"/>
                <w:sz w:val="24"/>
                <w:szCs w:val="24"/>
              </w:rPr>
              <w:t>, this information is shared appropriately in order to make an a</w:t>
            </w:r>
            <w:r w:rsidR="00F31B10" w:rsidRPr="00B970C8">
              <w:rPr>
                <w:rFonts w:ascii="Arial" w:eastAsia="Times New Roman" w:hAnsi="Arial" w:cs="Arial"/>
                <w:color w:val="5A5B5B"/>
                <w:sz w:val="24"/>
                <w:szCs w:val="24"/>
              </w:rPr>
              <w:t>ssessment of the nature of the relationship.</w:t>
            </w:r>
          </w:p>
          <w:p w:rsidR="00B970C8" w:rsidRDefault="00B970C8" w:rsidP="00B970C8">
            <w:pPr>
              <w:spacing w:after="0" w:line="336" w:lineRule="auto"/>
              <w:rPr>
                <w:rFonts w:ascii="Arial" w:eastAsia="Times New Roman" w:hAnsi="Arial" w:cs="Arial"/>
                <w:color w:val="5A5B5B"/>
                <w:sz w:val="24"/>
                <w:szCs w:val="24"/>
              </w:rPr>
            </w:pPr>
          </w:p>
          <w:p w:rsidR="00B970C8" w:rsidRDefault="00B970C8" w:rsidP="00B970C8">
            <w:pPr>
              <w:spacing w:after="0" w:line="336" w:lineRule="auto"/>
              <w:rPr>
                <w:rFonts w:ascii="Arial" w:eastAsia="Times New Roman" w:hAnsi="Arial" w:cs="Arial"/>
                <w:color w:val="5A5B5B"/>
                <w:sz w:val="24"/>
                <w:szCs w:val="24"/>
              </w:rPr>
            </w:pPr>
          </w:p>
          <w:p w:rsidR="00B970C8" w:rsidRPr="00B970C8" w:rsidRDefault="00B970C8" w:rsidP="00B970C8">
            <w:pPr>
              <w:spacing w:after="0" w:line="336" w:lineRule="auto"/>
              <w:rPr>
                <w:rFonts w:ascii="Arial" w:eastAsia="Times New Roman" w:hAnsi="Arial" w:cs="Arial"/>
                <w:color w:val="5A5B5B"/>
                <w:sz w:val="24"/>
                <w:szCs w:val="24"/>
              </w:rPr>
            </w:pPr>
          </w:p>
        </w:tc>
      </w:tr>
      <w:tr w:rsidR="00F31B10" w:rsidRPr="00B970C8" w:rsidTr="00F31B10">
        <w:trPr>
          <w:tblCellSpacing w:w="0" w:type="dxa"/>
        </w:trPr>
        <w:tc>
          <w:tcPr>
            <w:tcW w:w="150" w:type="pct"/>
            <w:hideMark/>
          </w:tcPr>
          <w:p w:rsidR="00F31B10" w:rsidRPr="00B970C8" w:rsidRDefault="00F31B10" w:rsidP="00F31B10">
            <w:pPr>
              <w:spacing w:after="0" w:line="336" w:lineRule="auto"/>
              <w:jc w:val="right"/>
              <w:rPr>
                <w:rFonts w:ascii="Arial" w:eastAsia="Times New Roman" w:hAnsi="Arial" w:cs="Arial"/>
                <w:color w:val="5A5B5B"/>
                <w:sz w:val="24"/>
                <w:szCs w:val="24"/>
              </w:rPr>
            </w:pPr>
          </w:p>
        </w:tc>
        <w:tc>
          <w:tcPr>
            <w:tcW w:w="0" w:type="auto"/>
            <w:hideMark/>
          </w:tcPr>
          <w:p w:rsidR="00B970C8" w:rsidRPr="00B970C8" w:rsidRDefault="00B970C8" w:rsidP="00B970C8">
            <w:pPr>
              <w:spacing w:before="192" w:after="192" w:line="336" w:lineRule="auto"/>
              <w:ind w:left="360"/>
              <w:rPr>
                <w:rFonts w:ascii="Arial" w:eastAsia="Times New Roman" w:hAnsi="Arial" w:cs="Arial"/>
                <w:color w:val="5A5B5B"/>
                <w:sz w:val="24"/>
                <w:szCs w:val="24"/>
              </w:rPr>
            </w:pPr>
            <w:r w:rsidRPr="00B970C8">
              <w:rPr>
                <w:rFonts w:ascii="Arial" w:eastAsia="Times New Roman" w:hAnsi="Arial" w:cs="Arial"/>
                <w:color w:val="5A5B5B"/>
                <w:sz w:val="24"/>
                <w:szCs w:val="24"/>
              </w:rPr>
              <w:t>Things we would be concerned about include:</w:t>
            </w:r>
          </w:p>
          <w:p w:rsidR="00F31B10" w:rsidRPr="00B970C8" w:rsidRDefault="00F31B10" w:rsidP="00B970C8">
            <w:pPr>
              <w:pStyle w:val="ListParagraph"/>
              <w:numPr>
                <w:ilvl w:val="0"/>
                <w:numId w:val="4"/>
              </w:numPr>
              <w:spacing w:before="192" w:after="192" w:line="336" w:lineRule="auto"/>
              <w:rPr>
                <w:rFonts w:ascii="Arial" w:eastAsia="Times New Roman" w:hAnsi="Arial" w:cs="Arial"/>
                <w:color w:val="5A5B5B"/>
                <w:sz w:val="24"/>
                <w:szCs w:val="24"/>
              </w:rPr>
            </w:pPr>
            <w:r w:rsidRPr="00B970C8">
              <w:rPr>
                <w:rFonts w:ascii="Arial" w:eastAsia="Times New Roman" w:hAnsi="Arial" w:cs="Arial"/>
                <w:color w:val="5A5B5B"/>
                <w:sz w:val="24"/>
                <w:szCs w:val="24"/>
              </w:rPr>
              <w:t>Power imbalance, due to differences in age, maturity, size, levels of sexual knowledge.</w:t>
            </w:r>
          </w:p>
          <w:p w:rsidR="00F31B10" w:rsidRPr="00B970C8" w:rsidRDefault="00F31B10" w:rsidP="00B970C8">
            <w:pPr>
              <w:pStyle w:val="ListParagraph"/>
              <w:numPr>
                <w:ilvl w:val="0"/>
                <w:numId w:val="4"/>
              </w:numPr>
              <w:spacing w:before="192" w:after="192" w:line="336" w:lineRule="auto"/>
              <w:rPr>
                <w:rFonts w:ascii="Arial" w:eastAsia="Times New Roman" w:hAnsi="Arial" w:cs="Arial"/>
                <w:color w:val="5A5B5B"/>
                <w:sz w:val="24"/>
                <w:szCs w:val="24"/>
              </w:rPr>
            </w:pPr>
            <w:r w:rsidRPr="00B970C8">
              <w:rPr>
                <w:rFonts w:ascii="Arial" w:eastAsia="Times New Roman" w:hAnsi="Arial" w:cs="Arial"/>
                <w:color w:val="5A5B5B"/>
                <w:sz w:val="24"/>
                <w:szCs w:val="24"/>
              </w:rPr>
              <w:t>Learning difficulty/disability in one partner</w:t>
            </w:r>
          </w:p>
          <w:p w:rsidR="00F31B10" w:rsidRPr="00B970C8" w:rsidRDefault="00F31B10" w:rsidP="00B970C8">
            <w:pPr>
              <w:pStyle w:val="ListParagraph"/>
              <w:numPr>
                <w:ilvl w:val="0"/>
                <w:numId w:val="4"/>
              </w:numPr>
              <w:spacing w:before="192" w:after="192" w:line="336" w:lineRule="auto"/>
              <w:rPr>
                <w:rFonts w:ascii="Arial" w:eastAsia="Times New Roman" w:hAnsi="Arial" w:cs="Arial"/>
                <w:color w:val="5A5B5B"/>
                <w:sz w:val="24"/>
                <w:szCs w:val="24"/>
              </w:rPr>
            </w:pPr>
            <w:r w:rsidRPr="00B970C8">
              <w:rPr>
                <w:rFonts w:ascii="Arial" w:eastAsia="Times New Roman" w:hAnsi="Arial" w:cs="Arial"/>
                <w:color w:val="5A5B5B"/>
                <w:sz w:val="24"/>
                <w:szCs w:val="24"/>
              </w:rPr>
              <w:t xml:space="preserve">Use of sex for </w:t>
            </w:r>
            <w:proofErr w:type="spellStart"/>
            <w:r w:rsidRPr="00B970C8">
              <w:rPr>
                <w:rFonts w:ascii="Arial" w:eastAsia="Times New Roman" w:hAnsi="Arial" w:cs="Arial"/>
                <w:color w:val="5A5B5B"/>
                <w:sz w:val="24"/>
                <w:szCs w:val="24"/>
              </w:rPr>
              <w:t>favours</w:t>
            </w:r>
            <w:proofErr w:type="spellEnd"/>
            <w:r w:rsidRPr="00B970C8">
              <w:rPr>
                <w:rFonts w:ascii="Arial" w:eastAsia="Times New Roman" w:hAnsi="Arial" w:cs="Arial"/>
                <w:color w:val="5A5B5B"/>
                <w:sz w:val="24"/>
                <w:szCs w:val="24"/>
              </w:rPr>
              <w:t>, e.g. exchanging sex for clothes, DVDs, alcohol, cigarettes, drugs</w:t>
            </w:r>
          </w:p>
          <w:p w:rsidR="00F31B10" w:rsidRPr="00B970C8" w:rsidRDefault="00F31B10" w:rsidP="00B970C8">
            <w:pPr>
              <w:pStyle w:val="ListParagraph"/>
              <w:numPr>
                <w:ilvl w:val="0"/>
                <w:numId w:val="4"/>
              </w:numPr>
              <w:spacing w:before="192" w:after="192" w:line="336" w:lineRule="auto"/>
              <w:rPr>
                <w:rFonts w:ascii="Arial" w:eastAsia="Times New Roman" w:hAnsi="Arial" w:cs="Arial"/>
                <w:color w:val="5A5B5B"/>
                <w:sz w:val="24"/>
                <w:szCs w:val="24"/>
              </w:rPr>
            </w:pPr>
            <w:r w:rsidRPr="00B970C8">
              <w:rPr>
                <w:rFonts w:ascii="Arial" w:eastAsia="Times New Roman" w:hAnsi="Arial" w:cs="Arial"/>
                <w:color w:val="5A5B5B"/>
                <w:sz w:val="24"/>
                <w:szCs w:val="24"/>
              </w:rPr>
              <w:t>Large amount of money or other valuables, which cannot be accounted for.</w:t>
            </w:r>
          </w:p>
          <w:p w:rsidR="00F31B10" w:rsidRPr="00B970C8" w:rsidRDefault="00F31B10" w:rsidP="00B970C8">
            <w:pPr>
              <w:pStyle w:val="ListParagraph"/>
              <w:numPr>
                <w:ilvl w:val="0"/>
                <w:numId w:val="4"/>
              </w:numPr>
              <w:spacing w:before="192" w:after="192" w:line="336" w:lineRule="auto"/>
              <w:rPr>
                <w:rFonts w:ascii="Arial" w:eastAsia="Times New Roman" w:hAnsi="Arial" w:cs="Arial"/>
                <w:color w:val="5A5B5B"/>
                <w:sz w:val="24"/>
                <w:szCs w:val="24"/>
              </w:rPr>
            </w:pPr>
            <w:r w:rsidRPr="00B970C8">
              <w:rPr>
                <w:rFonts w:ascii="Arial" w:eastAsia="Times New Roman" w:hAnsi="Arial" w:cs="Arial"/>
                <w:color w:val="5A5B5B"/>
                <w:sz w:val="24"/>
                <w:szCs w:val="24"/>
              </w:rPr>
              <w:t xml:space="preserve">Substance misuse, either administered as a </w:t>
            </w:r>
            <w:proofErr w:type="spellStart"/>
            <w:r w:rsidRPr="00B970C8">
              <w:rPr>
                <w:rFonts w:ascii="Arial" w:eastAsia="Times New Roman" w:hAnsi="Arial" w:cs="Arial"/>
                <w:color w:val="5A5B5B"/>
                <w:sz w:val="24"/>
                <w:szCs w:val="24"/>
              </w:rPr>
              <w:t>disinhibitor</w:t>
            </w:r>
            <w:proofErr w:type="spellEnd"/>
            <w:r w:rsidRPr="00B970C8">
              <w:rPr>
                <w:rFonts w:ascii="Arial" w:eastAsia="Times New Roman" w:hAnsi="Arial" w:cs="Arial"/>
                <w:color w:val="5A5B5B"/>
                <w:sz w:val="24"/>
                <w:szCs w:val="24"/>
              </w:rPr>
              <w:t xml:space="preserve"> affecting the ability to make informed decisions or leading to exploitation.</w:t>
            </w:r>
          </w:p>
          <w:p w:rsidR="00F31B10" w:rsidRPr="00B970C8" w:rsidRDefault="00F31B10" w:rsidP="00B970C8">
            <w:pPr>
              <w:pStyle w:val="ListParagraph"/>
              <w:numPr>
                <w:ilvl w:val="0"/>
                <w:numId w:val="4"/>
              </w:numPr>
              <w:spacing w:before="192" w:after="192" w:line="336" w:lineRule="auto"/>
              <w:rPr>
                <w:rFonts w:ascii="Arial" w:eastAsia="Times New Roman" w:hAnsi="Arial" w:cs="Arial"/>
                <w:color w:val="5A5B5B"/>
                <w:sz w:val="24"/>
                <w:szCs w:val="24"/>
              </w:rPr>
            </w:pPr>
            <w:r w:rsidRPr="00B970C8">
              <w:rPr>
                <w:rFonts w:ascii="Arial" w:eastAsia="Times New Roman" w:hAnsi="Arial" w:cs="Arial"/>
                <w:color w:val="5A5B5B"/>
                <w:sz w:val="24"/>
                <w:szCs w:val="24"/>
              </w:rPr>
              <w:t>Evidence of aggression or coercion</w:t>
            </w:r>
          </w:p>
          <w:p w:rsidR="00F31B10" w:rsidRPr="00B970C8" w:rsidRDefault="00F31B10" w:rsidP="00B970C8">
            <w:pPr>
              <w:pStyle w:val="ListParagraph"/>
              <w:numPr>
                <w:ilvl w:val="0"/>
                <w:numId w:val="4"/>
              </w:numPr>
              <w:spacing w:before="192" w:after="192" w:line="336" w:lineRule="auto"/>
              <w:rPr>
                <w:rFonts w:ascii="Arial" w:eastAsia="Times New Roman" w:hAnsi="Arial" w:cs="Arial"/>
                <w:color w:val="5A5B5B"/>
                <w:sz w:val="24"/>
                <w:szCs w:val="24"/>
              </w:rPr>
            </w:pPr>
            <w:r w:rsidRPr="00B970C8">
              <w:rPr>
                <w:rFonts w:ascii="Arial" w:eastAsia="Times New Roman" w:hAnsi="Arial" w:cs="Arial"/>
                <w:color w:val="5A5B5B"/>
                <w:sz w:val="24"/>
                <w:szCs w:val="24"/>
              </w:rPr>
              <w:t>Evidence of grooming</w:t>
            </w:r>
          </w:p>
          <w:p w:rsidR="00F31B10" w:rsidRPr="00B970C8" w:rsidRDefault="00F31B10" w:rsidP="00B970C8">
            <w:pPr>
              <w:pStyle w:val="ListParagraph"/>
              <w:numPr>
                <w:ilvl w:val="0"/>
                <w:numId w:val="4"/>
              </w:numPr>
              <w:spacing w:before="192" w:after="192" w:line="336" w:lineRule="auto"/>
              <w:rPr>
                <w:rFonts w:ascii="Arial" w:eastAsia="Times New Roman" w:hAnsi="Arial" w:cs="Arial"/>
                <w:color w:val="5A5B5B"/>
                <w:sz w:val="24"/>
                <w:szCs w:val="24"/>
              </w:rPr>
            </w:pPr>
            <w:r w:rsidRPr="00B970C8">
              <w:rPr>
                <w:rFonts w:ascii="Arial" w:eastAsia="Times New Roman" w:hAnsi="Arial" w:cs="Arial"/>
                <w:color w:val="5A5B5B"/>
                <w:sz w:val="24"/>
                <w:szCs w:val="24"/>
              </w:rPr>
              <w:t xml:space="preserve">A young person </w:t>
            </w:r>
            <w:proofErr w:type="spellStart"/>
            <w:r w:rsidRPr="00B970C8">
              <w:rPr>
                <w:rFonts w:ascii="Arial" w:eastAsia="Times New Roman" w:hAnsi="Arial" w:cs="Arial"/>
                <w:color w:val="5A5B5B"/>
                <w:sz w:val="24"/>
                <w:szCs w:val="24"/>
              </w:rPr>
              <w:t>minimising</w:t>
            </w:r>
            <w:proofErr w:type="spellEnd"/>
            <w:r w:rsidRPr="00B970C8">
              <w:rPr>
                <w:rFonts w:ascii="Arial" w:eastAsia="Times New Roman" w:hAnsi="Arial" w:cs="Arial"/>
                <w:color w:val="5A5B5B"/>
                <w:sz w:val="24"/>
                <w:szCs w:val="24"/>
              </w:rPr>
              <w:t xml:space="preserve"> the concerns and seeming to protect the other person.</w:t>
            </w:r>
          </w:p>
          <w:p w:rsidR="00F31B10" w:rsidRPr="00B970C8" w:rsidRDefault="00F31B10" w:rsidP="00B970C8">
            <w:pPr>
              <w:pStyle w:val="ListParagraph"/>
              <w:numPr>
                <w:ilvl w:val="0"/>
                <w:numId w:val="4"/>
              </w:numPr>
              <w:spacing w:before="192" w:after="192" w:line="336" w:lineRule="auto"/>
              <w:rPr>
                <w:rFonts w:ascii="Arial" w:eastAsia="Times New Roman" w:hAnsi="Arial" w:cs="Arial"/>
                <w:color w:val="5A5B5B"/>
                <w:sz w:val="24"/>
                <w:szCs w:val="24"/>
              </w:rPr>
            </w:pPr>
            <w:r w:rsidRPr="00B970C8">
              <w:rPr>
                <w:rFonts w:ascii="Arial" w:eastAsia="Times New Roman" w:hAnsi="Arial" w:cs="Arial"/>
                <w:color w:val="5A5B5B"/>
                <w:sz w:val="24"/>
                <w:szCs w:val="24"/>
              </w:rPr>
              <w:t>Information about the partner that may lead to concerns.</w:t>
            </w:r>
          </w:p>
          <w:p w:rsidR="00F31B10" w:rsidRPr="00B970C8" w:rsidRDefault="00F31B10" w:rsidP="00B970C8">
            <w:pPr>
              <w:pStyle w:val="ListParagraph"/>
              <w:numPr>
                <w:ilvl w:val="0"/>
                <w:numId w:val="4"/>
              </w:numPr>
              <w:spacing w:before="192" w:after="192" w:line="336" w:lineRule="auto"/>
              <w:rPr>
                <w:rFonts w:ascii="Arial" w:eastAsia="Times New Roman" w:hAnsi="Arial" w:cs="Arial"/>
                <w:color w:val="5A5B5B"/>
                <w:sz w:val="24"/>
                <w:szCs w:val="24"/>
              </w:rPr>
            </w:pPr>
            <w:proofErr w:type="spellStart"/>
            <w:r w:rsidRPr="00B970C8">
              <w:rPr>
                <w:rFonts w:ascii="Arial" w:eastAsia="Times New Roman" w:hAnsi="Arial" w:cs="Arial"/>
                <w:color w:val="5A5B5B"/>
                <w:sz w:val="24"/>
                <w:szCs w:val="24"/>
              </w:rPr>
              <w:t>Behaviour</w:t>
            </w:r>
            <w:proofErr w:type="spellEnd"/>
            <w:r w:rsidRPr="00B970C8">
              <w:rPr>
                <w:rFonts w:ascii="Arial" w:eastAsia="Times New Roman" w:hAnsi="Arial" w:cs="Arial"/>
                <w:color w:val="5A5B5B"/>
                <w:sz w:val="24"/>
                <w:szCs w:val="24"/>
              </w:rPr>
              <w:t xml:space="preserve"> of the young person, or changes in </w:t>
            </w:r>
            <w:proofErr w:type="spellStart"/>
            <w:r w:rsidRPr="00B970C8">
              <w:rPr>
                <w:rFonts w:ascii="Arial" w:eastAsia="Times New Roman" w:hAnsi="Arial" w:cs="Arial"/>
                <w:color w:val="5A5B5B"/>
                <w:sz w:val="24"/>
                <w:szCs w:val="24"/>
              </w:rPr>
              <w:t>behaviour</w:t>
            </w:r>
            <w:proofErr w:type="spellEnd"/>
            <w:r w:rsidRPr="00B970C8">
              <w:rPr>
                <w:rFonts w:ascii="Arial" w:eastAsia="Times New Roman" w:hAnsi="Arial" w:cs="Arial"/>
                <w:color w:val="5A5B5B"/>
                <w:sz w:val="24"/>
                <w:szCs w:val="24"/>
              </w:rPr>
              <w:t xml:space="preserve">, </w:t>
            </w:r>
            <w:proofErr w:type="gramStart"/>
            <w:r w:rsidRPr="00B970C8">
              <w:rPr>
                <w:rFonts w:ascii="Arial" w:eastAsia="Times New Roman" w:hAnsi="Arial" w:cs="Arial"/>
                <w:color w:val="5A5B5B"/>
                <w:sz w:val="24"/>
                <w:szCs w:val="24"/>
              </w:rPr>
              <w:t>that cause</w:t>
            </w:r>
            <w:proofErr w:type="gramEnd"/>
            <w:r w:rsidRPr="00B970C8">
              <w:rPr>
                <w:rFonts w:ascii="Arial" w:eastAsia="Times New Roman" w:hAnsi="Arial" w:cs="Arial"/>
                <w:color w:val="5A5B5B"/>
                <w:sz w:val="24"/>
                <w:szCs w:val="24"/>
              </w:rPr>
              <w:t xml:space="preserve"> concern, e.g. withdrawn or anxious.</w:t>
            </w:r>
          </w:p>
          <w:p w:rsidR="00F31B10" w:rsidRPr="00B970C8" w:rsidRDefault="00F31B10" w:rsidP="00B970C8">
            <w:pPr>
              <w:pStyle w:val="ListParagraph"/>
              <w:numPr>
                <w:ilvl w:val="0"/>
                <w:numId w:val="4"/>
              </w:numPr>
              <w:spacing w:before="192" w:after="192" w:line="336" w:lineRule="auto"/>
              <w:rPr>
                <w:rFonts w:ascii="Arial" w:eastAsia="Times New Roman" w:hAnsi="Arial" w:cs="Arial"/>
                <w:color w:val="5A5B5B"/>
                <w:sz w:val="24"/>
                <w:szCs w:val="24"/>
              </w:rPr>
            </w:pPr>
            <w:r w:rsidRPr="00B970C8">
              <w:rPr>
                <w:rFonts w:ascii="Arial" w:eastAsia="Times New Roman" w:hAnsi="Arial" w:cs="Arial"/>
                <w:color w:val="5A5B5B"/>
                <w:sz w:val="24"/>
                <w:szCs w:val="24"/>
              </w:rPr>
              <w:t>Young people who have become isolated from their peer group.</w:t>
            </w:r>
          </w:p>
          <w:p w:rsidR="00F31B10" w:rsidRPr="00B970C8" w:rsidRDefault="00F31B10" w:rsidP="00B970C8">
            <w:pPr>
              <w:pStyle w:val="ListParagraph"/>
              <w:numPr>
                <w:ilvl w:val="0"/>
                <w:numId w:val="4"/>
              </w:numPr>
              <w:spacing w:before="192" w:after="192" w:line="336" w:lineRule="auto"/>
              <w:rPr>
                <w:rFonts w:ascii="Arial" w:eastAsia="Times New Roman" w:hAnsi="Arial" w:cs="Arial"/>
                <w:color w:val="5A5B5B"/>
                <w:sz w:val="24"/>
                <w:szCs w:val="24"/>
              </w:rPr>
            </w:pPr>
            <w:r w:rsidRPr="00B970C8">
              <w:rPr>
                <w:rFonts w:ascii="Arial" w:eastAsia="Times New Roman" w:hAnsi="Arial" w:cs="Arial"/>
                <w:color w:val="5A5B5B"/>
                <w:sz w:val="24"/>
                <w:szCs w:val="24"/>
              </w:rPr>
              <w:t>Attempts to secure secrecy by the sexual partner beyond what would be considered usual in a teenage relationship.</w:t>
            </w:r>
          </w:p>
          <w:p w:rsidR="00F31B10" w:rsidRPr="00B970C8" w:rsidRDefault="00F31B10" w:rsidP="00B970C8">
            <w:pPr>
              <w:pStyle w:val="ListParagraph"/>
              <w:numPr>
                <w:ilvl w:val="0"/>
                <w:numId w:val="4"/>
              </w:numPr>
              <w:spacing w:before="192" w:after="192" w:line="336" w:lineRule="auto"/>
              <w:rPr>
                <w:rFonts w:ascii="Arial" w:eastAsia="Times New Roman" w:hAnsi="Arial" w:cs="Arial"/>
                <w:color w:val="5A5B5B"/>
                <w:sz w:val="24"/>
                <w:szCs w:val="24"/>
              </w:rPr>
            </w:pPr>
            <w:r w:rsidRPr="00B970C8">
              <w:rPr>
                <w:rFonts w:ascii="Arial" w:eastAsia="Times New Roman" w:hAnsi="Arial" w:cs="Arial"/>
                <w:color w:val="5A5B5B"/>
                <w:sz w:val="24"/>
                <w:szCs w:val="24"/>
              </w:rPr>
              <w:t>Information concerning the young person’s background and family that may give rise to concern, particularly familial child sex offences.</w:t>
            </w:r>
          </w:p>
        </w:tc>
      </w:tr>
      <w:tr w:rsidR="00F31B10" w:rsidRPr="00B970C8" w:rsidTr="00F31B10">
        <w:trPr>
          <w:tblCellSpacing w:w="0" w:type="dxa"/>
        </w:trPr>
        <w:tc>
          <w:tcPr>
            <w:tcW w:w="150" w:type="pct"/>
            <w:hideMark/>
          </w:tcPr>
          <w:p w:rsidR="00F31B10" w:rsidRPr="00F31B10" w:rsidRDefault="00F31B10" w:rsidP="00F31B10">
            <w:pPr>
              <w:spacing w:after="0" w:line="336" w:lineRule="auto"/>
              <w:jc w:val="right"/>
              <w:rPr>
                <w:rFonts w:ascii="Arial" w:eastAsia="Times New Roman" w:hAnsi="Arial" w:cs="Arial"/>
                <w:color w:val="5A5B5B"/>
                <w:sz w:val="18"/>
                <w:szCs w:val="18"/>
              </w:rPr>
            </w:pPr>
          </w:p>
        </w:tc>
        <w:tc>
          <w:tcPr>
            <w:tcW w:w="0" w:type="auto"/>
            <w:hideMark/>
          </w:tcPr>
          <w:p w:rsidR="00F31B10" w:rsidRPr="00B970C8" w:rsidRDefault="00B970C8" w:rsidP="00B970C8">
            <w:pPr>
              <w:spacing w:after="0" w:line="336" w:lineRule="auto"/>
              <w:rPr>
                <w:rFonts w:ascii="Arial" w:eastAsia="Times New Roman" w:hAnsi="Arial" w:cs="Arial"/>
                <w:color w:val="5A5B5B"/>
                <w:sz w:val="24"/>
                <w:szCs w:val="24"/>
              </w:rPr>
            </w:pPr>
            <w:r>
              <w:rPr>
                <w:rFonts w:ascii="Arial" w:eastAsia="Times New Roman" w:hAnsi="Arial" w:cs="Arial"/>
                <w:color w:val="5A5B5B"/>
                <w:sz w:val="24"/>
                <w:szCs w:val="24"/>
              </w:rPr>
              <w:t>It is only by passing these concerns on to our Safeguarding Advisor and/or Children`s Services that an assessment can be made.</w:t>
            </w:r>
          </w:p>
        </w:tc>
      </w:tr>
      <w:tr w:rsidR="00F31B10" w:rsidRPr="00B970C8" w:rsidTr="00F31B10">
        <w:trPr>
          <w:tblCellSpacing w:w="0" w:type="dxa"/>
        </w:trPr>
        <w:tc>
          <w:tcPr>
            <w:tcW w:w="150" w:type="pct"/>
            <w:hideMark/>
          </w:tcPr>
          <w:p w:rsidR="00F31B10" w:rsidRPr="00F31B10" w:rsidRDefault="00F31B10" w:rsidP="00F31B10">
            <w:pPr>
              <w:spacing w:after="0" w:line="336" w:lineRule="auto"/>
              <w:jc w:val="right"/>
              <w:rPr>
                <w:rFonts w:ascii="Arial" w:eastAsia="Times New Roman" w:hAnsi="Arial" w:cs="Arial"/>
                <w:color w:val="5A5B5B"/>
                <w:sz w:val="18"/>
                <w:szCs w:val="18"/>
              </w:rPr>
            </w:pPr>
          </w:p>
        </w:tc>
        <w:tc>
          <w:tcPr>
            <w:tcW w:w="0" w:type="auto"/>
            <w:hideMark/>
          </w:tcPr>
          <w:p w:rsidR="00F31B10" w:rsidRPr="00B970C8" w:rsidRDefault="00F31B10" w:rsidP="00B970C8">
            <w:pPr>
              <w:pStyle w:val="ListParagraph"/>
              <w:numPr>
                <w:ilvl w:val="0"/>
                <w:numId w:val="5"/>
              </w:numPr>
              <w:spacing w:after="0" w:line="336" w:lineRule="auto"/>
              <w:rPr>
                <w:rFonts w:ascii="Arial" w:eastAsia="Times New Roman" w:hAnsi="Arial" w:cs="Arial"/>
                <w:color w:val="5A5B5B"/>
                <w:sz w:val="24"/>
                <w:szCs w:val="24"/>
              </w:rPr>
            </w:pPr>
            <w:r w:rsidRPr="00B970C8">
              <w:rPr>
                <w:rFonts w:ascii="Arial" w:eastAsia="Times New Roman" w:hAnsi="Arial" w:cs="Arial"/>
                <w:color w:val="5A5B5B"/>
                <w:sz w:val="24"/>
                <w:szCs w:val="24"/>
              </w:rPr>
              <w:t>If the concerns are upheld, then a referral of child protection must be made to Children’s Social Care.</w:t>
            </w:r>
          </w:p>
        </w:tc>
      </w:tr>
      <w:tr w:rsidR="00F31B10" w:rsidRPr="00B970C8" w:rsidTr="00F31B10">
        <w:trPr>
          <w:tblCellSpacing w:w="0" w:type="dxa"/>
        </w:trPr>
        <w:tc>
          <w:tcPr>
            <w:tcW w:w="150" w:type="pct"/>
            <w:hideMark/>
          </w:tcPr>
          <w:p w:rsidR="00F31B10" w:rsidRPr="00F31B10" w:rsidRDefault="00F31B10" w:rsidP="00F31B10">
            <w:pPr>
              <w:spacing w:after="0" w:line="336" w:lineRule="auto"/>
              <w:jc w:val="right"/>
              <w:rPr>
                <w:rFonts w:ascii="Arial" w:eastAsia="Times New Roman" w:hAnsi="Arial" w:cs="Arial"/>
                <w:color w:val="5A5B5B"/>
                <w:sz w:val="18"/>
                <w:szCs w:val="18"/>
              </w:rPr>
            </w:pPr>
          </w:p>
        </w:tc>
        <w:tc>
          <w:tcPr>
            <w:tcW w:w="0" w:type="auto"/>
            <w:hideMark/>
          </w:tcPr>
          <w:p w:rsidR="00F31B10" w:rsidRPr="00B970C8" w:rsidRDefault="00F31B10" w:rsidP="00087AB4">
            <w:pPr>
              <w:pStyle w:val="ListParagraph"/>
              <w:numPr>
                <w:ilvl w:val="0"/>
                <w:numId w:val="5"/>
              </w:numPr>
              <w:spacing w:after="0" w:line="336" w:lineRule="auto"/>
              <w:rPr>
                <w:rFonts w:ascii="Arial" w:eastAsia="Times New Roman" w:hAnsi="Arial" w:cs="Arial"/>
                <w:color w:val="5A5B5B"/>
                <w:sz w:val="28"/>
                <w:szCs w:val="28"/>
              </w:rPr>
            </w:pPr>
            <w:r w:rsidRPr="00B970C8">
              <w:rPr>
                <w:rFonts w:ascii="Arial" w:eastAsia="Times New Roman" w:hAnsi="Arial" w:cs="Arial"/>
                <w:color w:val="5A5B5B"/>
                <w:sz w:val="24"/>
                <w:szCs w:val="24"/>
              </w:rPr>
              <w:t>In the situation where the concerns are not upheld following the discussion, then this discussion and decision must be recorded</w:t>
            </w:r>
            <w:r w:rsidR="00087AB4">
              <w:rPr>
                <w:rFonts w:ascii="Arial" w:eastAsia="Times New Roman" w:hAnsi="Arial" w:cs="Arial"/>
                <w:color w:val="5A5B5B"/>
                <w:sz w:val="24"/>
                <w:szCs w:val="24"/>
              </w:rPr>
              <w:t>.</w:t>
            </w:r>
          </w:p>
        </w:tc>
      </w:tr>
    </w:tbl>
    <w:p w:rsidR="00F31B10" w:rsidRPr="00B970C8" w:rsidRDefault="00F31B10" w:rsidP="00F31B10">
      <w:pPr>
        <w:pBdr>
          <w:bottom w:val="single" w:sz="8" w:space="0" w:color="009294"/>
        </w:pBdr>
        <w:shd w:val="clear" w:color="auto" w:fill="FFFFFF"/>
        <w:spacing w:before="100" w:beforeAutospacing="1" w:after="100" w:afterAutospacing="1" w:line="336" w:lineRule="auto"/>
        <w:outlineLvl w:val="1"/>
        <w:rPr>
          <w:rFonts w:ascii="Arial" w:eastAsia="Times New Roman" w:hAnsi="Arial" w:cs="Arial"/>
          <w:b/>
          <w:bCs/>
          <w:color w:val="50575B"/>
          <w:sz w:val="24"/>
          <w:szCs w:val="24"/>
          <w:lang w:val="en-GB"/>
        </w:rPr>
      </w:pPr>
      <w:bookmarkStart w:id="2" w:name="_16and"/>
      <w:bookmarkEnd w:id="2"/>
      <w:r w:rsidRPr="00B970C8">
        <w:rPr>
          <w:rFonts w:ascii="Arial" w:eastAsia="Times New Roman" w:hAnsi="Arial" w:cs="Arial"/>
          <w:b/>
          <w:bCs/>
          <w:color w:val="50575B"/>
          <w:sz w:val="24"/>
          <w:szCs w:val="24"/>
          <w:lang w:val="en-GB"/>
        </w:rPr>
        <w:lastRenderedPageBreak/>
        <w:t>16 and 17 Year Olds</w:t>
      </w:r>
    </w:p>
    <w:p w:rsidR="00F31B10" w:rsidRPr="00B970C8" w:rsidRDefault="00087AB4" w:rsidP="00F31B10">
      <w:pPr>
        <w:shd w:val="clear" w:color="auto" w:fill="FFFFFF"/>
        <w:spacing w:before="100" w:beforeAutospacing="1" w:after="100" w:afterAutospacing="1" w:line="336" w:lineRule="auto"/>
        <w:rPr>
          <w:rFonts w:ascii="Arial" w:eastAsia="Times New Roman" w:hAnsi="Arial" w:cs="Arial"/>
          <w:color w:val="5A5B5B"/>
          <w:sz w:val="24"/>
          <w:szCs w:val="24"/>
          <w:lang w:val="en-GB"/>
        </w:rPr>
      </w:pPr>
      <w:r>
        <w:rPr>
          <w:rFonts w:ascii="Arial" w:eastAsia="Times New Roman" w:hAnsi="Arial" w:cs="Arial"/>
          <w:color w:val="5A5B5B"/>
          <w:sz w:val="24"/>
          <w:szCs w:val="24"/>
          <w:lang w:val="en-GB"/>
        </w:rPr>
        <w:t>1</w:t>
      </w:r>
      <w:r w:rsidR="00F31B10" w:rsidRPr="00B970C8">
        <w:rPr>
          <w:rFonts w:ascii="Arial" w:eastAsia="Times New Roman" w:hAnsi="Arial" w:cs="Arial"/>
          <w:color w:val="5A5B5B"/>
          <w:sz w:val="24"/>
          <w:szCs w:val="24"/>
          <w:lang w:val="en-GB"/>
        </w:rPr>
        <w:t>6 and 17 year olds can be abused and exploited sexually</w:t>
      </w:r>
      <w:r>
        <w:rPr>
          <w:rFonts w:ascii="Arial" w:eastAsia="Times New Roman" w:hAnsi="Arial" w:cs="Arial"/>
          <w:color w:val="5A5B5B"/>
          <w:sz w:val="24"/>
          <w:szCs w:val="24"/>
          <w:lang w:val="en-GB"/>
        </w:rPr>
        <w:t>,</w:t>
      </w:r>
      <w:r w:rsidR="00F31B10" w:rsidRPr="00B970C8">
        <w:rPr>
          <w:rFonts w:ascii="Arial" w:eastAsia="Times New Roman" w:hAnsi="Arial" w:cs="Arial"/>
          <w:color w:val="5A5B5B"/>
          <w:sz w:val="24"/>
          <w:szCs w:val="24"/>
          <w:lang w:val="en-GB"/>
        </w:rPr>
        <w:t xml:space="preserve"> </w:t>
      </w:r>
      <w:proofErr w:type="gramStart"/>
      <w:r w:rsidR="00F31B10" w:rsidRPr="00B970C8">
        <w:rPr>
          <w:rFonts w:ascii="Arial" w:eastAsia="Times New Roman" w:hAnsi="Arial" w:cs="Arial"/>
          <w:color w:val="5A5B5B"/>
          <w:sz w:val="24"/>
          <w:szCs w:val="24"/>
          <w:lang w:val="en-GB"/>
        </w:rPr>
        <w:t>particularly  those</w:t>
      </w:r>
      <w:proofErr w:type="gramEnd"/>
      <w:r w:rsidR="00F31B10" w:rsidRPr="00B970C8">
        <w:rPr>
          <w:rFonts w:ascii="Arial" w:eastAsia="Times New Roman" w:hAnsi="Arial" w:cs="Arial"/>
          <w:color w:val="5A5B5B"/>
          <w:sz w:val="24"/>
          <w:szCs w:val="24"/>
          <w:lang w:val="en-GB"/>
        </w:rPr>
        <w:t xml:space="preserve"> who are vulnerable, e.g. young people with disabilities; less mature than their peers; those with unsettled lifestyles</w:t>
      </w:r>
      <w:r>
        <w:rPr>
          <w:rFonts w:ascii="Arial" w:eastAsia="Times New Roman" w:hAnsi="Arial" w:cs="Arial"/>
          <w:color w:val="5A5B5B"/>
          <w:sz w:val="24"/>
          <w:szCs w:val="24"/>
          <w:lang w:val="en-GB"/>
        </w:rPr>
        <w:t xml:space="preserve"> or</w:t>
      </w:r>
      <w:r w:rsidR="00F31B10" w:rsidRPr="00B970C8">
        <w:rPr>
          <w:rFonts w:ascii="Arial" w:eastAsia="Times New Roman" w:hAnsi="Arial" w:cs="Arial"/>
          <w:color w:val="5A5B5B"/>
          <w:sz w:val="24"/>
          <w:szCs w:val="24"/>
          <w:lang w:val="en-GB"/>
        </w:rPr>
        <w:t xml:space="preserve"> those living away from home.</w:t>
      </w:r>
    </w:p>
    <w:p w:rsidR="00F31B10" w:rsidRPr="00B970C8" w:rsidRDefault="00F31B10" w:rsidP="00F31B10">
      <w:pPr>
        <w:pBdr>
          <w:bottom w:val="single" w:sz="8" w:space="0" w:color="009294"/>
        </w:pBdr>
        <w:shd w:val="clear" w:color="auto" w:fill="FFFFFF"/>
        <w:spacing w:before="100" w:beforeAutospacing="1" w:after="100" w:afterAutospacing="1" w:line="336" w:lineRule="auto"/>
        <w:outlineLvl w:val="1"/>
        <w:rPr>
          <w:rFonts w:ascii="Arial" w:eastAsia="Times New Roman" w:hAnsi="Arial" w:cs="Arial"/>
          <w:b/>
          <w:bCs/>
          <w:color w:val="50575B"/>
          <w:sz w:val="24"/>
          <w:szCs w:val="24"/>
          <w:lang w:val="en-GB"/>
        </w:rPr>
      </w:pPr>
      <w:bookmarkStart w:id="3" w:name="breach"/>
      <w:bookmarkEnd w:id="3"/>
      <w:r w:rsidRPr="00B970C8">
        <w:rPr>
          <w:rFonts w:ascii="Arial" w:eastAsia="Times New Roman" w:hAnsi="Arial" w:cs="Arial"/>
          <w:b/>
          <w:bCs/>
          <w:color w:val="50575B"/>
          <w:sz w:val="24"/>
          <w:szCs w:val="24"/>
          <w:lang w:val="en-GB"/>
        </w:rPr>
        <w:t>Breach of Trust</w:t>
      </w:r>
    </w:p>
    <w:p w:rsidR="00F31B10" w:rsidRPr="00B970C8" w:rsidRDefault="00F31B10" w:rsidP="00F31B10">
      <w:pPr>
        <w:shd w:val="clear" w:color="auto" w:fill="FFFFFF"/>
        <w:spacing w:before="100" w:beforeAutospacing="1" w:after="100" w:afterAutospacing="1" w:line="336" w:lineRule="auto"/>
        <w:rPr>
          <w:rFonts w:ascii="Arial" w:eastAsia="Times New Roman" w:hAnsi="Arial" w:cs="Arial"/>
          <w:color w:val="5A5B5B"/>
          <w:sz w:val="24"/>
          <w:szCs w:val="24"/>
          <w:lang w:val="en-GB"/>
        </w:rPr>
      </w:pPr>
      <w:r w:rsidRPr="00B970C8">
        <w:rPr>
          <w:rFonts w:ascii="Arial" w:eastAsia="Times New Roman" w:hAnsi="Arial" w:cs="Arial"/>
          <w:color w:val="5A5B5B"/>
          <w:sz w:val="24"/>
          <w:szCs w:val="24"/>
          <w:lang w:val="en-GB"/>
        </w:rPr>
        <w:t xml:space="preserve">Under the Sexual Offences Act 2003, it is a serious offence for a sexual relationship to take place between a young person under the age of 18 years and an adult who “is in a </w:t>
      </w:r>
      <w:r w:rsidRPr="00B970C8">
        <w:rPr>
          <w:rFonts w:ascii="Arial" w:eastAsia="Times New Roman" w:hAnsi="Arial" w:cs="Arial"/>
          <w:b/>
          <w:bCs/>
          <w:color w:val="666666"/>
          <w:sz w:val="24"/>
          <w:szCs w:val="24"/>
          <w:lang w:val="en-GB"/>
        </w:rPr>
        <w:t>position of trust</w:t>
      </w:r>
      <w:r w:rsidRPr="00B970C8">
        <w:rPr>
          <w:rFonts w:ascii="Arial" w:eastAsia="Times New Roman" w:hAnsi="Arial" w:cs="Arial"/>
          <w:color w:val="5A5B5B"/>
          <w:sz w:val="24"/>
          <w:szCs w:val="24"/>
          <w:lang w:val="en-GB"/>
        </w:rPr>
        <w:t>” in settings e.g. youth clubs, residential care, schools and colleges</w:t>
      </w:r>
      <w:r w:rsidR="00087AB4">
        <w:rPr>
          <w:rFonts w:ascii="Arial" w:eastAsia="Times New Roman" w:hAnsi="Arial" w:cs="Arial"/>
          <w:color w:val="5A5B5B"/>
          <w:sz w:val="24"/>
          <w:szCs w:val="24"/>
          <w:lang w:val="en-GB"/>
        </w:rPr>
        <w:t xml:space="preserve"> in</w:t>
      </w:r>
      <w:r w:rsidRPr="00B970C8">
        <w:rPr>
          <w:rFonts w:ascii="Arial" w:eastAsia="Times New Roman" w:hAnsi="Arial" w:cs="Arial"/>
          <w:color w:val="5A5B5B"/>
          <w:sz w:val="24"/>
          <w:szCs w:val="24"/>
          <w:lang w:val="en-GB"/>
        </w:rPr>
        <w:t xml:space="preserve"> a paid or voluntary capacity. These situations must always be referred to Children’s S</w:t>
      </w:r>
      <w:r w:rsidR="00087AB4">
        <w:rPr>
          <w:rFonts w:ascii="Arial" w:eastAsia="Times New Roman" w:hAnsi="Arial" w:cs="Arial"/>
          <w:color w:val="5A5B5B"/>
          <w:sz w:val="24"/>
          <w:szCs w:val="24"/>
          <w:lang w:val="en-GB"/>
        </w:rPr>
        <w:t>ervices</w:t>
      </w:r>
      <w:r w:rsidRPr="00B970C8">
        <w:rPr>
          <w:rFonts w:ascii="Arial" w:eastAsia="Times New Roman" w:hAnsi="Arial" w:cs="Arial"/>
          <w:color w:val="5A5B5B"/>
          <w:sz w:val="24"/>
          <w:szCs w:val="24"/>
          <w:lang w:val="en-GB"/>
        </w:rPr>
        <w:t xml:space="preserve"> </w:t>
      </w:r>
      <w:r w:rsidR="00087AB4">
        <w:rPr>
          <w:rFonts w:ascii="Arial" w:eastAsia="Times New Roman" w:hAnsi="Arial" w:cs="Arial"/>
          <w:color w:val="5A5B5B"/>
          <w:sz w:val="24"/>
          <w:szCs w:val="24"/>
          <w:lang w:val="en-GB"/>
        </w:rPr>
        <w:t>under Child Protection and t</w:t>
      </w:r>
      <w:r w:rsidRPr="00B970C8">
        <w:rPr>
          <w:rFonts w:ascii="Arial" w:eastAsia="Times New Roman" w:hAnsi="Arial" w:cs="Arial"/>
          <w:color w:val="5A5B5B"/>
          <w:sz w:val="24"/>
          <w:szCs w:val="24"/>
          <w:lang w:val="en-GB"/>
        </w:rPr>
        <w:t>he procedures for dealing with an allegation</w:t>
      </w:r>
      <w:r w:rsidR="00087AB4">
        <w:rPr>
          <w:rFonts w:ascii="Arial" w:eastAsia="Times New Roman" w:hAnsi="Arial" w:cs="Arial"/>
          <w:color w:val="5A5B5B"/>
          <w:sz w:val="24"/>
          <w:szCs w:val="24"/>
          <w:lang w:val="en-GB"/>
        </w:rPr>
        <w:t>.</w:t>
      </w:r>
    </w:p>
    <w:p w:rsidR="00F31B10" w:rsidRPr="00B970C8" w:rsidRDefault="00F31B10" w:rsidP="00F31B10">
      <w:pPr>
        <w:pBdr>
          <w:bottom w:val="single" w:sz="8" w:space="0" w:color="009294"/>
        </w:pBdr>
        <w:shd w:val="clear" w:color="auto" w:fill="FFFFFF"/>
        <w:spacing w:before="100" w:beforeAutospacing="1" w:after="100" w:afterAutospacing="1" w:line="336" w:lineRule="auto"/>
        <w:outlineLvl w:val="1"/>
        <w:rPr>
          <w:rFonts w:ascii="Arial" w:eastAsia="Times New Roman" w:hAnsi="Arial" w:cs="Arial"/>
          <w:b/>
          <w:bCs/>
          <w:color w:val="50575B"/>
          <w:sz w:val="24"/>
          <w:szCs w:val="24"/>
          <w:lang w:val="en-GB"/>
        </w:rPr>
      </w:pPr>
      <w:bookmarkStart w:id="4" w:name="shareinf"/>
      <w:bookmarkEnd w:id="4"/>
      <w:r w:rsidRPr="00B970C8">
        <w:rPr>
          <w:rFonts w:ascii="Arial" w:eastAsia="Times New Roman" w:hAnsi="Arial" w:cs="Arial"/>
          <w:b/>
          <w:bCs/>
          <w:color w:val="50575B"/>
          <w:sz w:val="24"/>
          <w:szCs w:val="24"/>
          <w:lang w:val="en-GB"/>
        </w:rPr>
        <w:t>Sharing Information with Parents and Carers</w:t>
      </w:r>
    </w:p>
    <w:p w:rsidR="00F31B10" w:rsidRPr="00B970C8" w:rsidRDefault="00087AB4" w:rsidP="00F31B10">
      <w:pPr>
        <w:shd w:val="clear" w:color="auto" w:fill="FFFFFF"/>
        <w:spacing w:before="100" w:beforeAutospacing="1" w:after="100" w:afterAutospacing="1" w:line="336" w:lineRule="auto"/>
        <w:rPr>
          <w:rFonts w:ascii="Arial" w:eastAsia="Times New Roman" w:hAnsi="Arial" w:cs="Arial"/>
          <w:color w:val="5A5B5B"/>
          <w:sz w:val="24"/>
          <w:szCs w:val="24"/>
          <w:lang w:val="en-GB"/>
        </w:rPr>
      </w:pPr>
      <w:r>
        <w:rPr>
          <w:rFonts w:ascii="Arial" w:eastAsia="Times New Roman" w:hAnsi="Arial" w:cs="Arial"/>
          <w:color w:val="5A5B5B"/>
          <w:sz w:val="24"/>
          <w:szCs w:val="24"/>
          <w:lang w:val="en-GB"/>
        </w:rPr>
        <w:t xml:space="preserve">This </w:t>
      </w:r>
      <w:r w:rsidR="00F31B10" w:rsidRPr="00B970C8">
        <w:rPr>
          <w:rFonts w:ascii="Arial" w:eastAsia="Times New Roman" w:hAnsi="Arial" w:cs="Arial"/>
          <w:color w:val="5A5B5B"/>
          <w:sz w:val="24"/>
          <w:szCs w:val="24"/>
          <w:lang w:val="en-GB"/>
        </w:rPr>
        <w:t>should be considered in all situations where there is concern about the safety or welfare of the young person</w:t>
      </w:r>
      <w:r>
        <w:rPr>
          <w:rFonts w:ascii="Arial" w:eastAsia="Times New Roman" w:hAnsi="Arial" w:cs="Arial"/>
          <w:color w:val="5A5B5B"/>
          <w:sz w:val="24"/>
          <w:szCs w:val="24"/>
          <w:lang w:val="en-GB"/>
        </w:rPr>
        <w:t xml:space="preserve"> and</w:t>
      </w:r>
      <w:r w:rsidR="00F31B10" w:rsidRPr="00B970C8">
        <w:rPr>
          <w:rFonts w:ascii="Arial" w:eastAsia="Times New Roman" w:hAnsi="Arial" w:cs="Arial"/>
          <w:color w:val="5A5B5B"/>
          <w:sz w:val="24"/>
          <w:szCs w:val="24"/>
          <w:lang w:val="en-GB"/>
        </w:rPr>
        <w:t xml:space="preserve"> should be part of the assessment based on what is in the child/young person’s best interests</w:t>
      </w:r>
      <w:r>
        <w:rPr>
          <w:rFonts w:ascii="Arial" w:eastAsia="Times New Roman" w:hAnsi="Arial" w:cs="Arial"/>
          <w:color w:val="5A5B5B"/>
          <w:sz w:val="24"/>
          <w:szCs w:val="24"/>
          <w:lang w:val="en-GB"/>
        </w:rPr>
        <w:t>, considering</w:t>
      </w:r>
      <w:r w:rsidR="00F31B10" w:rsidRPr="00B970C8">
        <w:rPr>
          <w:rFonts w:ascii="Arial" w:eastAsia="Times New Roman" w:hAnsi="Arial" w:cs="Arial"/>
          <w:color w:val="5A5B5B"/>
          <w:sz w:val="24"/>
          <w:szCs w:val="24"/>
          <w:lang w:val="en-GB"/>
        </w:rPr>
        <w:t xml:space="preserve"> the child’s age, maturity and ability to appreciate the risks</w:t>
      </w:r>
      <w:r>
        <w:rPr>
          <w:rFonts w:ascii="Arial" w:eastAsia="Times New Roman" w:hAnsi="Arial" w:cs="Arial"/>
          <w:color w:val="5A5B5B"/>
          <w:sz w:val="24"/>
          <w:szCs w:val="24"/>
          <w:lang w:val="en-GB"/>
        </w:rPr>
        <w:t xml:space="preserve"> and</w:t>
      </w:r>
      <w:r w:rsidR="00F31B10" w:rsidRPr="00B970C8">
        <w:rPr>
          <w:rFonts w:ascii="Arial" w:eastAsia="Times New Roman" w:hAnsi="Arial" w:cs="Arial"/>
          <w:color w:val="5A5B5B"/>
          <w:sz w:val="24"/>
          <w:szCs w:val="24"/>
          <w:lang w:val="en-GB"/>
        </w:rPr>
        <w:t xml:space="preserve"> parents/carers’ ability to protect the young person. </w:t>
      </w:r>
    </w:p>
    <w:p w:rsidR="00F31B10" w:rsidRPr="00087AB4" w:rsidRDefault="00F31B10" w:rsidP="00F31B10">
      <w:pPr>
        <w:pBdr>
          <w:bottom w:val="single" w:sz="8" w:space="0" w:color="009294"/>
        </w:pBdr>
        <w:shd w:val="clear" w:color="auto" w:fill="FFFFFF"/>
        <w:spacing w:before="100" w:beforeAutospacing="1" w:after="100" w:afterAutospacing="1" w:line="336" w:lineRule="auto"/>
        <w:outlineLvl w:val="1"/>
        <w:rPr>
          <w:rFonts w:ascii="Arial" w:eastAsia="Times New Roman" w:hAnsi="Arial" w:cs="Arial"/>
          <w:b/>
          <w:bCs/>
          <w:color w:val="50575B"/>
          <w:sz w:val="24"/>
          <w:szCs w:val="24"/>
          <w:lang w:val="en-GB"/>
        </w:rPr>
      </w:pPr>
      <w:r w:rsidRPr="00087AB4">
        <w:rPr>
          <w:rFonts w:ascii="Arial" w:eastAsia="Times New Roman" w:hAnsi="Arial" w:cs="Arial"/>
          <w:b/>
          <w:bCs/>
          <w:color w:val="50575B"/>
          <w:sz w:val="24"/>
          <w:szCs w:val="24"/>
          <w:lang w:val="en-GB"/>
        </w:rPr>
        <w:t>8.</w:t>
      </w:r>
      <w:bookmarkStart w:id="5" w:name="healthpro"/>
      <w:bookmarkEnd w:id="5"/>
      <w:r w:rsidRPr="00087AB4">
        <w:rPr>
          <w:rFonts w:ascii="Arial" w:eastAsia="Times New Roman" w:hAnsi="Arial" w:cs="Arial"/>
          <w:b/>
          <w:bCs/>
          <w:color w:val="50575B"/>
          <w:sz w:val="24"/>
          <w:szCs w:val="24"/>
          <w:lang w:val="en-GB"/>
        </w:rPr>
        <w:t>  Health Professionals</w:t>
      </w:r>
    </w:p>
    <w:p w:rsidR="00F31B10" w:rsidRPr="00087AB4" w:rsidRDefault="00F31B10" w:rsidP="00F31B10">
      <w:pPr>
        <w:shd w:val="clear" w:color="auto" w:fill="FFFFFF"/>
        <w:spacing w:before="100" w:beforeAutospacing="1" w:after="100" w:afterAutospacing="1" w:line="336" w:lineRule="auto"/>
        <w:rPr>
          <w:rFonts w:ascii="Arial" w:eastAsia="Times New Roman" w:hAnsi="Arial" w:cs="Arial"/>
          <w:color w:val="5A5B5B"/>
          <w:sz w:val="24"/>
          <w:szCs w:val="24"/>
          <w:lang w:val="en-GB"/>
        </w:rPr>
      </w:pPr>
      <w:r w:rsidRPr="00087AB4">
        <w:rPr>
          <w:rFonts w:ascii="Arial" w:eastAsia="Times New Roman" w:hAnsi="Arial" w:cs="Arial"/>
          <w:color w:val="5A5B5B"/>
          <w:sz w:val="24"/>
          <w:szCs w:val="24"/>
          <w:lang w:val="en-GB"/>
        </w:rPr>
        <w:t>Health professionals have specific duties with regard to sexually active young people. They have a duty of care and confidentiality to all patients</w:t>
      </w:r>
      <w:r w:rsidR="00087AB4">
        <w:rPr>
          <w:rFonts w:ascii="Arial" w:eastAsia="Times New Roman" w:hAnsi="Arial" w:cs="Arial"/>
          <w:color w:val="5A5B5B"/>
          <w:sz w:val="24"/>
          <w:szCs w:val="24"/>
          <w:lang w:val="en-GB"/>
        </w:rPr>
        <w:t xml:space="preserve"> </w:t>
      </w:r>
      <w:r w:rsidRPr="00087AB4">
        <w:rPr>
          <w:rFonts w:ascii="Arial" w:eastAsia="Times New Roman" w:hAnsi="Arial" w:cs="Arial"/>
          <w:color w:val="5A5B5B"/>
          <w:sz w:val="24"/>
          <w:szCs w:val="24"/>
          <w:lang w:val="en-GB"/>
        </w:rPr>
        <w:t xml:space="preserve">and they must provide appropriate medical advice and treatment. Neither Working Together to Safeguard Children 2010 or the Sexual Offences Act 2003 affects that duty of care. It is most important that this group of young people is provided with appropriate medical advice and treatment. </w:t>
      </w:r>
      <w:r w:rsidR="00087AB4">
        <w:rPr>
          <w:rFonts w:ascii="Arial" w:eastAsia="Times New Roman" w:hAnsi="Arial" w:cs="Arial"/>
          <w:color w:val="5A5B5B"/>
          <w:sz w:val="24"/>
          <w:szCs w:val="24"/>
          <w:lang w:val="en-GB"/>
        </w:rPr>
        <w:t>T</w:t>
      </w:r>
      <w:r w:rsidRPr="00087AB4">
        <w:rPr>
          <w:rFonts w:ascii="Arial" w:eastAsia="Times New Roman" w:hAnsi="Arial" w:cs="Arial"/>
          <w:color w:val="5A5B5B"/>
          <w:sz w:val="24"/>
          <w:szCs w:val="24"/>
          <w:lang w:val="en-GB"/>
        </w:rPr>
        <w:t xml:space="preserve">he duty of confidentiality is not absolute. </w:t>
      </w:r>
      <w:r w:rsidRPr="00087AB4">
        <w:rPr>
          <w:rFonts w:ascii="Arial" w:eastAsia="Times New Roman" w:hAnsi="Arial" w:cs="Arial"/>
          <w:b/>
          <w:bCs/>
          <w:color w:val="666666"/>
          <w:sz w:val="24"/>
          <w:szCs w:val="24"/>
          <w:lang w:val="en-GB"/>
        </w:rPr>
        <w:t>The welfare of the young person is paramount and when a health professional believes that a child is at risk of significant harm, the duty of protection outweighs the duty of confidentiality.</w:t>
      </w:r>
    </w:p>
    <w:p w:rsidR="00F31B10" w:rsidRPr="00F31B10" w:rsidRDefault="00F31B10" w:rsidP="00F31B10">
      <w:pPr>
        <w:shd w:val="clear" w:color="auto" w:fill="FFFFFF"/>
        <w:spacing w:before="100" w:beforeAutospacing="1" w:after="100" w:afterAutospacing="1" w:line="336" w:lineRule="auto"/>
        <w:rPr>
          <w:rFonts w:ascii="Arial" w:eastAsia="Times New Roman" w:hAnsi="Arial" w:cs="Arial"/>
          <w:color w:val="5A5B5B"/>
          <w:sz w:val="18"/>
          <w:szCs w:val="18"/>
          <w:lang w:val="en-GB"/>
        </w:rPr>
      </w:pPr>
    </w:p>
    <w:p w:rsidR="0015329D" w:rsidRDefault="0015329D"/>
    <w:sectPr w:rsidR="0015329D" w:rsidSect="0015329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D4073"/>
    <w:multiLevelType w:val="hybridMultilevel"/>
    <w:tmpl w:val="58D66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7615CE"/>
    <w:multiLevelType w:val="multilevel"/>
    <w:tmpl w:val="6C5C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805CDB"/>
    <w:multiLevelType w:val="hybridMultilevel"/>
    <w:tmpl w:val="E24AC8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6DE2DB9"/>
    <w:multiLevelType w:val="hybridMultilevel"/>
    <w:tmpl w:val="7142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916DDD"/>
    <w:multiLevelType w:val="hybridMultilevel"/>
    <w:tmpl w:val="95985D4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F31B10"/>
    <w:rsid w:val="00082A3C"/>
    <w:rsid w:val="00087AB4"/>
    <w:rsid w:val="0015329D"/>
    <w:rsid w:val="002F4209"/>
    <w:rsid w:val="00361D45"/>
    <w:rsid w:val="0038031C"/>
    <w:rsid w:val="00596095"/>
    <w:rsid w:val="00643505"/>
    <w:rsid w:val="006F5626"/>
    <w:rsid w:val="008B44B0"/>
    <w:rsid w:val="009100F9"/>
    <w:rsid w:val="009108B9"/>
    <w:rsid w:val="00954FB9"/>
    <w:rsid w:val="00A06340"/>
    <w:rsid w:val="00A4786C"/>
    <w:rsid w:val="00B33779"/>
    <w:rsid w:val="00B73E01"/>
    <w:rsid w:val="00B970C8"/>
    <w:rsid w:val="00C14EB3"/>
    <w:rsid w:val="00C67358"/>
    <w:rsid w:val="00E23540"/>
    <w:rsid w:val="00E7118A"/>
    <w:rsid w:val="00EC7C43"/>
    <w:rsid w:val="00F22A01"/>
    <w:rsid w:val="00F31B10"/>
    <w:rsid w:val="00F322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29D"/>
  </w:style>
  <w:style w:type="paragraph" w:styleId="Heading2">
    <w:name w:val="heading 2"/>
    <w:basedOn w:val="Normal"/>
    <w:link w:val="Heading2Char"/>
    <w:uiPriority w:val="9"/>
    <w:qFormat/>
    <w:rsid w:val="00F31B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1B1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31B10"/>
    <w:rPr>
      <w:rFonts w:ascii="Arial" w:hAnsi="Arial" w:cs="Arial" w:hint="default"/>
      <w:b/>
      <w:bCs/>
      <w:i w:val="0"/>
      <w:iCs w:val="0"/>
      <w:strike w:val="0"/>
      <w:dstrike w:val="0"/>
      <w:color w:val="009294"/>
      <w:u w:val="none"/>
      <w:effect w:val="none"/>
    </w:rPr>
  </w:style>
  <w:style w:type="paragraph" w:styleId="NormalWeb">
    <w:name w:val="Normal (Web)"/>
    <w:basedOn w:val="Normal"/>
    <w:uiPriority w:val="99"/>
    <w:semiHidden/>
    <w:unhideWhenUsed/>
    <w:rsid w:val="00F31B10"/>
    <w:pPr>
      <w:spacing w:before="100" w:beforeAutospacing="1" w:after="100" w:afterAutospacing="1" w:line="336" w:lineRule="auto"/>
    </w:pPr>
    <w:rPr>
      <w:rFonts w:ascii="Times New Roman" w:eastAsia="Times New Roman" w:hAnsi="Times New Roman" w:cs="Times New Roman"/>
      <w:sz w:val="24"/>
      <w:szCs w:val="24"/>
    </w:rPr>
  </w:style>
  <w:style w:type="character" w:customStyle="1" w:styleId="bold1">
    <w:name w:val="bold1"/>
    <w:basedOn w:val="DefaultParagraphFont"/>
    <w:rsid w:val="00F31B10"/>
    <w:rPr>
      <w:b/>
      <w:bCs/>
      <w:color w:val="666666"/>
    </w:rPr>
  </w:style>
  <w:style w:type="paragraph" w:styleId="ListParagraph">
    <w:name w:val="List Paragraph"/>
    <w:basedOn w:val="Normal"/>
    <w:uiPriority w:val="34"/>
    <w:qFormat/>
    <w:rsid w:val="00F32235"/>
    <w:pPr>
      <w:ind w:left="720"/>
      <w:contextualSpacing/>
    </w:pPr>
  </w:style>
</w:styles>
</file>

<file path=word/webSettings.xml><?xml version="1.0" encoding="utf-8"?>
<w:webSettings xmlns:r="http://schemas.openxmlformats.org/officeDocument/2006/relationships" xmlns:w="http://schemas.openxmlformats.org/wordprocessingml/2006/main">
  <w:divs>
    <w:div w:id="1936356592">
      <w:bodyDiv w:val="1"/>
      <w:marLeft w:val="0"/>
      <w:marRight w:val="0"/>
      <w:marTop w:val="0"/>
      <w:marBottom w:val="0"/>
      <w:divBdr>
        <w:top w:val="none" w:sz="0" w:space="0" w:color="auto"/>
        <w:left w:val="none" w:sz="0" w:space="0" w:color="auto"/>
        <w:bottom w:val="none" w:sz="0" w:space="0" w:color="auto"/>
        <w:right w:val="none" w:sz="0" w:space="0" w:color="auto"/>
      </w:divBdr>
      <w:divsChild>
        <w:div w:id="1330715619">
          <w:marLeft w:val="0"/>
          <w:marRight w:val="0"/>
          <w:marTop w:val="100"/>
          <w:marBottom w:val="100"/>
          <w:divBdr>
            <w:top w:val="none" w:sz="0" w:space="0" w:color="auto"/>
            <w:left w:val="none" w:sz="0" w:space="0" w:color="auto"/>
            <w:bottom w:val="none" w:sz="0" w:space="0" w:color="auto"/>
            <w:right w:val="none" w:sz="0" w:space="0" w:color="auto"/>
          </w:divBdr>
          <w:divsChild>
            <w:div w:id="20281171">
              <w:marLeft w:val="4200"/>
              <w:marRight w:val="0"/>
              <w:marTop w:val="0"/>
              <w:marBottom w:val="0"/>
              <w:divBdr>
                <w:top w:val="none" w:sz="0" w:space="0" w:color="auto"/>
                <w:left w:val="none" w:sz="0" w:space="0" w:color="auto"/>
                <w:bottom w:val="none" w:sz="0" w:space="0" w:color="auto"/>
                <w:right w:val="none" w:sz="0" w:space="0" w:color="auto"/>
              </w:divBdr>
              <w:divsChild>
                <w:div w:id="1155033189">
                  <w:marLeft w:val="0"/>
                  <w:marRight w:val="0"/>
                  <w:marTop w:val="0"/>
                  <w:marBottom w:val="0"/>
                  <w:divBdr>
                    <w:top w:val="none" w:sz="0" w:space="0" w:color="auto"/>
                    <w:left w:val="none" w:sz="0" w:space="0" w:color="auto"/>
                    <w:bottom w:val="none" w:sz="0" w:space="0" w:color="auto"/>
                    <w:right w:val="none" w:sz="0" w:space="0" w:color="auto"/>
                  </w:divBdr>
                  <w:divsChild>
                    <w:div w:id="135885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ceduresonline.com/resources/keywords_online/nat_key/keywords/significant_harm.html" TargetMode="External"/><Relationship Id="rId5" Type="http://schemas.openxmlformats.org/officeDocument/2006/relationships/hyperlink" Target="http://www.proceduresonline.com/resources/keywords_online/nat_key/keywords/sec_47_enq.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dc:creator>
  <cp:keywords/>
  <dc:description/>
  <cp:lastModifiedBy>Belinda</cp:lastModifiedBy>
  <cp:revision>3</cp:revision>
  <cp:lastPrinted>2013-02-06T15:53:00Z</cp:lastPrinted>
  <dcterms:created xsi:type="dcterms:W3CDTF">2013-02-06T15:53:00Z</dcterms:created>
  <dcterms:modified xsi:type="dcterms:W3CDTF">2013-02-07T09:34:00Z</dcterms:modified>
</cp:coreProperties>
</file>